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Default="00BD15E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BD15ED" w:rsidRDefault="00BD15ED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SENATE COMMITTEE SUBSTITUTE FOR</w:t>
      </w:r>
    </w:p>
    <w:p w:rsidR="00BD15ED" w:rsidRPr="00FD0B52" w:rsidRDefault="00BD15ED" w:rsidP="00DA6F1D">
      <w:pPr>
        <w:pStyle w:val="NormalFloor"/>
        <w:jc w:val="center"/>
      </w:pPr>
    </w:p>
    <w:p w:rsidR="00DA6F1D" w:rsidRDefault="00BD15ED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SENATE, No. 647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DA6F1D" w:rsidP="00DA6F1D">
      <w:pPr>
        <w:pStyle w:val="NormalFloor"/>
        <w:jc w:val="center"/>
      </w:pPr>
      <w:r>
        <w:t xml:space="preserve">with </w:t>
      </w:r>
      <w:r w:rsidR="00BD15ED">
        <w:t>Senate Floor Amendments</w:t>
      </w:r>
    </w:p>
    <w:p w:rsidR="00DA6F1D" w:rsidRDefault="00BD15ED" w:rsidP="00DA6F1D">
      <w:pPr>
        <w:pStyle w:val="NormalFloor"/>
        <w:jc w:val="center"/>
      </w:pPr>
      <w:r>
        <w:t>(Proposed by Senators GREENSTEIN and SINGLETON)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BD15ED">
        <w:t>JULY 30, 2020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4A92" w:rsidRDefault="00CB4A92" w:rsidP="00A74B07"/>
    <w:p w:rsidR="00BD15ED" w:rsidRDefault="00BD15ED" w:rsidP="00BD15ED">
      <w:r>
        <w:tab/>
        <w:t xml:space="preserve">The Senate floor amendments: </w:t>
      </w:r>
    </w:p>
    <w:p w:rsidR="00BD15ED" w:rsidRDefault="00BD15ED" w:rsidP="00BD15ED">
      <w:r>
        <w:tab/>
        <w:t xml:space="preserve">(1) amend the “Water Quality Accountability Act,” P.L.2017, c.133 (C.58:31-1 et seq.)  to provide that the law applies to public </w:t>
      </w:r>
      <w:r w:rsidRPr="00FB23BD">
        <w:t>community</w:t>
      </w:r>
      <w:r>
        <w:t xml:space="preserve"> water systems, rather than public water systems; </w:t>
      </w:r>
    </w:p>
    <w:p w:rsidR="00BD15ED" w:rsidRDefault="00BD15ED" w:rsidP="00BD15ED">
      <w:r>
        <w:tab/>
        <w:t xml:space="preserve">(2) add a definition for the term “public community water system”; </w:t>
      </w:r>
    </w:p>
    <w:p w:rsidR="00BD15ED" w:rsidRDefault="00BD15ED" w:rsidP="00BD15ED">
      <w:r>
        <w:tab/>
        <w:t xml:space="preserve">(3) add a definition for the term “New Jersey Cybersecurity and Communications Integration Cell”; </w:t>
      </w:r>
    </w:p>
    <w:p w:rsidR="00BD15ED" w:rsidRDefault="00BD15ED" w:rsidP="00BD15ED">
      <w:r>
        <w:tab/>
        <w:t xml:space="preserve">(4) require that the New Jersey Cybersecurity and Communications Integration Cell (NJCCIC) develop requirements for water purveyors’ cybersecurity programs, rather than the Board of Public Utilities (BPU); </w:t>
      </w:r>
    </w:p>
    <w:p w:rsidR="00BD15ED" w:rsidRDefault="00BD15ED" w:rsidP="00BD15ED">
      <w:r>
        <w:tab/>
        <w:t xml:space="preserve">(5) require that water purveyors submit their cybersecurity plans and revisions only to the NJCCIC, and not to the BPU or the Department of Environmental Protection (DEP); </w:t>
      </w:r>
    </w:p>
    <w:p w:rsidR="00BD15ED" w:rsidRDefault="00BD15ED" w:rsidP="00BD15ED">
      <w:r>
        <w:tab/>
        <w:t xml:space="preserve">(6) provide that the NJCCIC may cause to be audited certain public community water systems, and require that audits be conducted by a qualified and independent cybersecurity company at the water purveyor’s expense; </w:t>
      </w:r>
    </w:p>
    <w:p w:rsidR="00BD15ED" w:rsidRDefault="00BD15ED" w:rsidP="00BD15ED">
      <w:r>
        <w:tab/>
        <w:t xml:space="preserve">(7) require water purveyors, following a cybersecurity audit, to submit the audit and any corrective action plans to the NJCCIC; </w:t>
      </w:r>
    </w:p>
    <w:p w:rsidR="00BD15ED" w:rsidRDefault="00BD15ED" w:rsidP="00BD15ED">
      <w:r>
        <w:tab/>
        <w:t xml:space="preserve">(8)  require water purveyors to report cybersecurity incidents to the NJCCIC, and not to the BPU or the DEP; </w:t>
      </w:r>
    </w:p>
    <w:p w:rsidR="00BD15ED" w:rsidRDefault="00BD15ED" w:rsidP="00BD15ED">
      <w:r>
        <w:tab/>
        <w:t xml:space="preserve">(9) require that reports of cybersecurity incidents to the NJCCIC be made “promptly,” instead of “immediately” after an employee is made aware of an incident; </w:t>
      </w:r>
    </w:p>
    <w:p w:rsidR="00BD15ED" w:rsidRDefault="00BD15ED" w:rsidP="00BD15ED">
      <w:r>
        <w:tab/>
        <w:t xml:space="preserve">(10) provide that the DEP may </w:t>
      </w:r>
      <w:r w:rsidRPr="00B44853">
        <w:t>cause to be audited</w:t>
      </w:r>
      <w:r>
        <w:t xml:space="preserve"> certain public community water systems, rather than conducting an audit itself, and that the DEP may require a water purveyor to pay the cost of the audit; </w:t>
      </w:r>
    </w:p>
    <w:p w:rsidR="00BD15ED" w:rsidRDefault="00BD15ED" w:rsidP="00BD15ED">
      <w:r>
        <w:tab/>
        <w:t xml:space="preserve">(11) provide that a water purveyor’s water main renewal program may be designed to achieve another, appropriate replacement cycle, rather than a 150-year or shorter replacement cycle); </w:t>
      </w:r>
    </w:p>
    <w:p w:rsidR="00BD15ED" w:rsidRDefault="00BD15ED" w:rsidP="00BD15ED">
      <w:r>
        <w:tab/>
        <w:t xml:space="preserve">(12) specify that dedicated funding required to address and remediate the highest priority infrastructure projects by a water purveyor on an annual basis be adequate for that purpose; </w:t>
      </w:r>
    </w:p>
    <w:p w:rsidR="00BD15ED" w:rsidRDefault="00BD15ED" w:rsidP="00BD15ED">
      <w:r>
        <w:tab/>
        <w:t xml:space="preserve">(13) require that the a water purveyor submit a report based on its asset management plan to the DEP each year, rather than every three years; </w:t>
      </w:r>
    </w:p>
    <w:p w:rsidR="00BD15ED" w:rsidRDefault="00BD15ED" w:rsidP="00BD15ED">
      <w:r>
        <w:lastRenderedPageBreak/>
        <w:tab/>
        <w:t xml:space="preserve">(14) provide that a water purveyor’s compliance with the requirement to report on its asset management plan may be demonstrated through the submission of evidence of the completion of a detailed, comprehensive planning study or certain other studies; </w:t>
      </w:r>
    </w:p>
    <w:p w:rsidR="00BD15ED" w:rsidRDefault="00BD15ED" w:rsidP="00BD15ED">
      <w:r>
        <w:tab/>
        <w:t xml:space="preserve">(15) provide that the detailed comprehensive planning study and certain other studies conducted by a water purveyor are not government records, and are not required to be made available for public inspection; </w:t>
      </w:r>
    </w:p>
    <w:p w:rsidR="00BD15ED" w:rsidRDefault="00BD15ED" w:rsidP="00BD15ED">
      <w:r>
        <w:tab/>
        <w:t xml:space="preserve">(16) require each water purveyor to revise its asset management plan to include a comprehensive inventory, mapping, and evaluation of the condition of certain asset classes belonging to the public community water system; </w:t>
      </w:r>
    </w:p>
    <w:p w:rsidR="00BD15ED" w:rsidRDefault="00BD15ED" w:rsidP="00BD15ED">
      <w:r>
        <w:tab/>
        <w:t xml:space="preserve">(17) require that a water purveyor’s level of service goals, required to be established under the bill, be based upon industry standards such as those established by the American Water Works Association; </w:t>
      </w:r>
    </w:p>
    <w:p w:rsidR="00BD15ED" w:rsidRDefault="00BD15ED" w:rsidP="00BD15ED">
      <w:r>
        <w:tab/>
        <w:t>(18) remove the requirement in the bill that a water purveyor include in its asset management plan the life cycle costs of the public community water system’s assets; and</w:t>
      </w:r>
    </w:p>
    <w:p w:rsidR="00BD15ED" w:rsidRDefault="00BD15ED" w:rsidP="00BD15ED">
      <w:r>
        <w:tab/>
        <w:t xml:space="preserve">(19) make technical changes to the bill.  </w:t>
      </w:r>
    </w:p>
    <w:sectPr w:rsidR="00BD15ED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7169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029C9"/>
    <w:rsid w:val="00056CEC"/>
    <w:rsid w:val="000C30E1"/>
    <w:rsid w:val="001C7B7C"/>
    <w:rsid w:val="00226BD2"/>
    <w:rsid w:val="0025232F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7F5773"/>
    <w:rsid w:val="00891386"/>
    <w:rsid w:val="008D5731"/>
    <w:rsid w:val="008F005B"/>
    <w:rsid w:val="009451C5"/>
    <w:rsid w:val="009E69F4"/>
    <w:rsid w:val="00A1108C"/>
    <w:rsid w:val="00A74B07"/>
    <w:rsid w:val="00AB0440"/>
    <w:rsid w:val="00B25466"/>
    <w:rsid w:val="00B52045"/>
    <w:rsid w:val="00BC4C16"/>
    <w:rsid w:val="00BD15ED"/>
    <w:rsid w:val="00C30ECE"/>
    <w:rsid w:val="00C31D94"/>
    <w:rsid w:val="00CA41BE"/>
    <w:rsid w:val="00CB4A92"/>
    <w:rsid w:val="00CE01AE"/>
    <w:rsid w:val="00D969EF"/>
    <w:rsid w:val="00DA6F1D"/>
    <w:rsid w:val="00E21963"/>
    <w:rsid w:val="00EC44B4"/>
    <w:rsid w:val="00F616B0"/>
    <w:rsid w:val="00FD0B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/>
    <o:shapelayout v:ext="edit">
      <o:idmap v:ext="edit" data="1"/>
    </o:shapelayout>
  </w:shapeDefaults>
  <w:decimalSymbol w:val="."/>
  <w:listSeparator w:val=","/>
  <w15:chartTrackingRefBased/>
  <w15:docId w15:val="{E0AA0F72-A9FF-4835-8006-CFC48762E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522</Words>
  <Characters>2840</Characters>
  <Application>Microsoft Office Word</Application>
  <DocSecurity>0</DocSecurity>
  <Lines>69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S647 1R SCS Senate 7/30/20</vt:lpstr>
    </vt:vector>
  </TitlesOfParts>
  <Manager>R225</Manager>
  <Company>Office of Legislative Services</Company>
  <LinksUpToDate>false</LinksUpToDate>
  <CharactersWithSpaces>3376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S647 1R SCS Senate Statement 7/30/20</dc:title>
  <dc:subject/>
  <dc:creator>Senate</dc:creator>
  <cp:keywords>S647|2|EA |277|0|0|!|0|</cp:keywords>
  <dc:description/>
  <cp:lastModifiedBy>Siracusa, Nicole</cp:lastModifiedBy>
  <cp:revision>2</cp:revision>
  <dcterms:created xsi:type="dcterms:W3CDTF">2020-07-31T16:18:00Z</dcterms:created>
  <dcterms:modified xsi:type="dcterms:W3CDTF">2020-07-31T16:18:00Z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