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EDA" w:rsidRDefault="00461EDA" w:rsidP="00461EDA">
      <w:pPr>
        <w:pStyle w:val="bpuBill"/>
      </w:pPr>
      <w:bookmarkStart w:id="0" w:name="bpuFrontPg"/>
      <w:bookmarkStart w:id="1" w:name="_GoBack"/>
      <w:bookmarkEnd w:id="0"/>
      <w:bookmarkEnd w:id="1"/>
      <w:r>
        <w:t xml:space="preserve">SENATE, No. 657 </w:t>
      </w:r>
    </w:p>
    <w:p w:rsidR="00461EDA" w:rsidRPr="00461EDA" w:rsidRDefault="00461EDA" w:rsidP="00461E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2767" r:id="rId8"/>
        </w:object>
      </w:r>
    </w:p>
    <w:p w:rsidR="00461EDA" w:rsidRDefault="00461EDA" w:rsidP="00461EDA">
      <w:pPr>
        <w:pStyle w:val="bpuState"/>
      </w:pPr>
      <w:r>
        <w:t>STATE OF NEW JERSEY</w:t>
      </w:r>
    </w:p>
    <w:p w:rsidR="00461EDA" w:rsidRDefault="00461EDA" w:rsidP="00461EDA">
      <w:pPr>
        <w:pStyle w:val="bpuLegislature"/>
      </w:pPr>
      <w:r>
        <w:t>219th LEGISLATURE</w:t>
      </w:r>
    </w:p>
    <w:p w:rsidR="00461EDA" w:rsidRDefault="00461EDA" w:rsidP="00461EDA">
      <w:pPr>
        <w:pStyle w:val="bpuWpGraphic"/>
      </w:pPr>
      <w:r>
        <w:object w:dxaOrig="8985" w:dyaOrig="255">
          <v:shape id="_x0000_i1026" type="#_x0000_t75" style="width:6in;height:11.9pt" o:ole="">
            <v:imagedata r:id="rId7" o:title=""/>
          </v:shape>
          <o:OLEObject Type="Embed" ProgID="WPWin6.1" ShapeID="_x0000_i1026" DrawAspect="Content" ObjectID="_1640152768" r:id="rId9"/>
        </w:object>
      </w:r>
      <w:r>
        <w:t xml:space="preserve">  </w:t>
      </w:r>
    </w:p>
    <w:p w:rsidR="00461EDA" w:rsidRDefault="00461EDA" w:rsidP="00461EDA">
      <w:pPr>
        <w:pStyle w:val="bpuIntro"/>
      </w:pPr>
      <w:r>
        <w:t>PRE-FILED FOR INTRODUCTION IN THE 2020 SESSION</w:t>
      </w:r>
    </w:p>
    <w:p w:rsidR="00461EDA" w:rsidRDefault="00461EDA" w:rsidP="00461EDA">
      <w:pPr>
        <w:pStyle w:val="bpuIntro"/>
      </w:pPr>
    </w:p>
    <w:p w:rsidR="00461EDA" w:rsidRDefault="00461EDA" w:rsidP="00461EDA">
      <w:pPr>
        <w:pStyle w:val="bpuIntro"/>
        <w:sectPr w:rsidR="00461EDA" w:rsidSect="00461EDA">
          <w:headerReference w:type="even" r:id="rId10"/>
          <w:headerReference w:type="default" r:id="rId11"/>
          <w:pgSz w:w="12240" w:h="20160" w:code="5"/>
          <w:pgMar w:top="2160" w:right="1440" w:bottom="1440" w:left="1440" w:header="720" w:footer="720" w:gutter="0"/>
          <w:pgNumType w:start="1"/>
          <w:cols w:space="720"/>
          <w:docGrid w:linePitch="360"/>
        </w:sectPr>
      </w:pPr>
    </w:p>
    <w:p w:rsidR="00461EDA" w:rsidRDefault="00461EDA" w:rsidP="00461EDA">
      <w:pPr>
        <w:pStyle w:val="bpuIntro"/>
      </w:pPr>
    </w:p>
    <w:p w:rsidR="00461EDA" w:rsidRDefault="00461EDA" w:rsidP="00461EDA">
      <w:pPr>
        <w:pStyle w:val="bpuSponsor"/>
      </w:pPr>
      <w:r>
        <w:t>Sponsored by:</w:t>
      </w:r>
    </w:p>
    <w:p w:rsidR="00461EDA" w:rsidRDefault="00461EDA" w:rsidP="00461EDA">
      <w:pPr>
        <w:pStyle w:val="bpuSponsor"/>
      </w:pPr>
      <w:r>
        <w:t>Senator  SAMUEL D. THOMPSON</w:t>
      </w:r>
    </w:p>
    <w:p w:rsidR="00461EDA" w:rsidRDefault="00461EDA" w:rsidP="00461EDA">
      <w:pPr>
        <w:pStyle w:val="bpuSponsor"/>
      </w:pPr>
      <w:r>
        <w:t>District 12 (Burlington, Middlesex, Monmouth and Ocean)</w:t>
      </w:r>
    </w:p>
    <w:p w:rsidR="00461EDA" w:rsidRDefault="00461EDA" w:rsidP="00461EDA">
      <w:pPr>
        <w:pStyle w:val="bpuSponsor"/>
      </w:pPr>
    </w:p>
    <w:p w:rsidR="00461EDA" w:rsidRDefault="00461EDA" w:rsidP="00461EDA">
      <w:pPr>
        <w:pStyle w:val="bpuSponsor"/>
      </w:pPr>
    </w:p>
    <w:p w:rsidR="00461EDA" w:rsidRDefault="00461EDA" w:rsidP="00461EDA">
      <w:pPr>
        <w:pStyle w:val="bpuSponsor"/>
      </w:pPr>
    </w:p>
    <w:p w:rsidR="00461EDA" w:rsidRDefault="00461EDA" w:rsidP="00461EDA">
      <w:pPr>
        <w:pStyle w:val="bpuSponsor"/>
      </w:pPr>
    </w:p>
    <w:p w:rsidR="00461EDA" w:rsidRDefault="00461EDA" w:rsidP="00461EDA">
      <w:pPr>
        <w:pStyle w:val="bpuSponsor"/>
      </w:pPr>
      <w:r>
        <w:t>SYNOPSIS</w:t>
      </w:r>
    </w:p>
    <w:p w:rsidR="00461EDA" w:rsidRDefault="00461EDA" w:rsidP="00461EDA">
      <w:pPr>
        <w:pStyle w:val="bpuNormText"/>
      </w:pPr>
      <w:r>
        <w:tab/>
        <w:t xml:space="preserve">Provides immunity from liability for certain recreational activities and from injuries caused by acts of God. </w:t>
      </w:r>
    </w:p>
    <w:p w:rsidR="00461EDA" w:rsidRDefault="00461EDA" w:rsidP="00461EDA">
      <w:pPr>
        <w:pStyle w:val="bpuNormText"/>
      </w:pPr>
    </w:p>
    <w:p w:rsidR="00461EDA" w:rsidRDefault="00461EDA" w:rsidP="00461EDA">
      <w:pPr>
        <w:pStyle w:val="bpuSponsor"/>
      </w:pPr>
      <w:r>
        <w:t xml:space="preserve">CURRENT VERSION OF TEXT </w:t>
      </w:r>
    </w:p>
    <w:p w:rsidR="00461EDA" w:rsidRDefault="00461EDA" w:rsidP="00461EDA">
      <w:pPr>
        <w:pStyle w:val="bpuNormText"/>
      </w:pPr>
      <w:r>
        <w:tab/>
        <w:t>Introduced Pending Technical Review by Legislative Counsel.</w:t>
      </w:r>
    </w:p>
    <w:p w:rsidR="00461EDA" w:rsidRDefault="00461EDA" w:rsidP="00461ED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61EDA" w:rsidRDefault="00461ED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61EDA" w:rsidSect="00461EDA">
          <w:type w:val="continuous"/>
          <w:pgSz w:w="12240" w:h="20160" w:code="5"/>
          <w:pgMar w:top="2160" w:right="2275" w:bottom="1440" w:left="2275" w:header="72" w:footer="720" w:gutter="0"/>
          <w:pgNumType w:start="1"/>
          <w:cols w:space="720"/>
          <w:docGrid w:linePitch="360"/>
        </w:sectPr>
      </w:pPr>
    </w:p>
    <w:p w:rsidR="007071AB" w:rsidRDefault="007071AB" w:rsidP="007071AB">
      <w:pPr>
        <w:pStyle w:val="HangingAnAct"/>
      </w:pPr>
      <w:r w:rsidRPr="007071AB">
        <w:rPr>
          <w:rStyle w:val="BillHead"/>
        </w:rPr>
        <w:lastRenderedPageBreak/>
        <w:t>An Act</w:t>
      </w:r>
      <w:r>
        <w:t xml:space="preserve"> concerning liability for natural events, amending N.J.S.59:4-8, supplementing Title 59 of the New Jersey Statutes, and supplementing P.L.1968, c.73 (C.2A:42A-2 et seq.).</w:t>
      </w:r>
    </w:p>
    <w:p w:rsidR="007071AB" w:rsidRDefault="007071AB" w:rsidP="007071AB">
      <w:pPr>
        <w:widowControl w:val="0"/>
        <w:tabs>
          <w:tab w:val="left" w:pos="-1440"/>
          <w:tab w:val="left" w:pos="-720"/>
          <w:tab w:val="left" w:pos="0"/>
        </w:tabs>
        <w:spacing w:line="287" w:lineRule="auto"/>
      </w:pPr>
    </w:p>
    <w:p w:rsidR="007071AB" w:rsidRDefault="007071AB" w:rsidP="007071AB">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071AB" w:rsidRDefault="007071AB" w:rsidP="007071AB">
      <w:pPr>
        <w:widowControl w:val="0"/>
        <w:tabs>
          <w:tab w:val="left" w:pos="-1440"/>
          <w:tab w:val="left" w:pos="-720"/>
          <w:tab w:val="left" w:pos="0"/>
        </w:tabs>
        <w:spacing w:line="287" w:lineRule="auto"/>
      </w:pPr>
    </w:p>
    <w:p w:rsidR="007071AB" w:rsidRDefault="007071AB" w:rsidP="007071AB">
      <w:pPr>
        <w:widowControl w:val="0"/>
        <w:tabs>
          <w:tab w:val="left" w:pos="-1440"/>
          <w:tab w:val="left" w:pos="-720"/>
          <w:tab w:val="left" w:pos="0"/>
        </w:tabs>
        <w:spacing w:line="287" w:lineRule="auto"/>
      </w:pPr>
      <w:r>
        <w:tab/>
        <w:t>1.</w:t>
      </w:r>
      <w:r>
        <w:tab/>
        <w:t>N.J.S.59:4-8 is amended to read as follows:</w:t>
      </w:r>
    </w:p>
    <w:p w:rsidR="007071AB" w:rsidRDefault="007071AB" w:rsidP="007071AB">
      <w:pPr>
        <w:widowControl w:val="0"/>
        <w:tabs>
          <w:tab w:val="left" w:pos="-1440"/>
          <w:tab w:val="left" w:pos="-720"/>
          <w:tab w:val="left" w:pos="0"/>
        </w:tabs>
        <w:spacing w:line="287" w:lineRule="auto"/>
      </w:pPr>
      <w:r>
        <w:tab/>
        <w:t>59:4-8. Condition of unimproved public property--immunity.</w:t>
      </w:r>
    </w:p>
    <w:p w:rsidR="007071AB" w:rsidRDefault="007071AB" w:rsidP="007071AB">
      <w:pPr>
        <w:widowControl w:val="0"/>
        <w:tabs>
          <w:tab w:val="left" w:pos="-1440"/>
          <w:tab w:val="left" w:pos="-720"/>
          <w:tab w:val="left" w:pos="0"/>
        </w:tabs>
        <w:spacing w:line="287" w:lineRule="auto"/>
      </w:pPr>
      <w:r>
        <w:tab/>
        <w:t>Neither a public entity nor a public employee is liable for an injury caused by a condition of any unimproved public property, including but not limited to any natural condition of any lake, stream, bay, river or beach</w:t>
      </w:r>
      <w:r>
        <w:rPr>
          <w:u w:val="single"/>
        </w:rPr>
        <w:t>, regardless of whether a jetty, pier, or other similar structure has been constructed on or near the beach or whether a beach replenishment project has been conducted at or near the beach</w:t>
      </w:r>
      <w:r>
        <w:t>.</w:t>
      </w:r>
    </w:p>
    <w:p w:rsidR="007071AB" w:rsidRDefault="00461EDA" w:rsidP="007071AB">
      <w:pPr>
        <w:widowControl w:val="0"/>
        <w:tabs>
          <w:tab w:val="left" w:pos="-1440"/>
          <w:tab w:val="left" w:pos="-720"/>
          <w:tab w:val="left" w:pos="0"/>
        </w:tabs>
        <w:spacing w:line="287" w:lineRule="auto"/>
      </w:pPr>
      <w:r>
        <w:t>(</w:t>
      </w:r>
      <w:proofErr w:type="spellStart"/>
      <w:r>
        <w:t>cf</w:t>
      </w:r>
      <w:proofErr w:type="spellEnd"/>
      <w:r>
        <w:t>:</w:t>
      </w:r>
      <w:r w:rsidR="007071AB">
        <w:t xml:space="preserve"> P.L.1972, c.45, s.59:4-8)</w:t>
      </w:r>
    </w:p>
    <w:p w:rsidR="007071AB" w:rsidRDefault="007071AB" w:rsidP="007071AB">
      <w:pPr>
        <w:widowControl w:val="0"/>
        <w:tabs>
          <w:tab w:val="left" w:pos="-1440"/>
          <w:tab w:val="left" w:pos="-720"/>
          <w:tab w:val="left" w:pos="0"/>
        </w:tabs>
        <w:spacing w:line="287" w:lineRule="auto"/>
      </w:pPr>
    </w:p>
    <w:p w:rsidR="007071AB" w:rsidRDefault="007071AB" w:rsidP="007071AB">
      <w:pPr>
        <w:widowControl w:val="0"/>
        <w:tabs>
          <w:tab w:val="left" w:pos="-1440"/>
          <w:tab w:val="left" w:pos="-720"/>
          <w:tab w:val="left" w:pos="0"/>
        </w:tabs>
        <w:spacing w:line="287" w:lineRule="auto"/>
      </w:pPr>
      <w:r>
        <w:tab/>
        <w:t>2.</w:t>
      </w:r>
      <w:r>
        <w:tab/>
        <w:t>(New section)  Neither a public entity nor a public employee is liable for an injury arising out of any act of commission or omission by a person serving as a lifeguard on unimproved public property in the course of rendering lifeguard services.</w:t>
      </w:r>
    </w:p>
    <w:p w:rsidR="007071AB" w:rsidRDefault="007071AB" w:rsidP="007071AB">
      <w:pPr>
        <w:widowControl w:val="0"/>
        <w:tabs>
          <w:tab w:val="left" w:pos="-1440"/>
          <w:tab w:val="left" w:pos="-720"/>
          <w:tab w:val="left" w:pos="0"/>
        </w:tabs>
        <w:spacing w:line="287" w:lineRule="auto"/>
      </w:pPr>
    </w:p>
    <w:p w:rsidR="007071AB" w:rsidRDefault="007071AB" w:rsidP="007071AB">
      <w:pPr>
        <w:widowControl w:val="0"/>
        <w:tabs>
          <w:tab w:val="left" w:pos="-1440"/>
          <w:tab w:val="left" w:pos="-720"/>
          <w:tab w:val="left" w:pos="0"/>
        </w:tabs>
        <w:spacing w:line="287" w:lineRule="auto"/>
      </w:pPr>
      <w:r>
        <w:tab/>
        <w:t>3.</w:t>
      </w:r>
      <w:r>
        <w:tab/>
        <w:t>(New section)  a.  Notwithstanding any provisions of law to the contrary a person, corporation or public entity shall not be liable in any civil action for damages resulting from an act of God.</w:t>
      </w:r>
    </w:p>
    <w:p w:rsidR="007071AB" w:rsidRDefault="007071AB" w:rsidP="007071AB">
      <w:pPr>
        <w:widowControl w:val="0"/>
        <w:tabs>
          <w:tab w:val="left" w:pos="-1440"/>
          <w:tab w:val="left" w:pos="-720"/>
          <w:tab w:val="left" w:pos="0"/>
        </w:tabs>
        <w:spacing w:line="287" w:lineRule="auto"/>
      </w:pPr>
      <w:r>
        <w:tab/>
        <w:t>b.</w:t>
      </w:r>
      <w:r>
        <w:tab/>
        <w:t>Notwithstanding any provisions of law to the contrary a person, corporation or public entity shall not be liable in any civil action for damages allegedly caused by negligent acts of commission or omission in implementation of procedures or the operation of equipment designed to detect or warn of the occurrence of an act of God or to mitigate the effects of an act of God.  Acts covered by this paragraph include but are not limited to the stationing of lifeguards at pools, the posting of warning signs, and the installation of lightning warning devices.</w:t>
      </w:r>
    </w:p>
    <w:p w:rsidR="007071AB" w:rsidRDefault="007071AB" w:rsidP="007071AB">
      <w:pPr>
        <w:widowControl w:val="0"/>
        <w:tabs>
          <w:tab w:val="left" w:pos="-1440"/>
          <w:tab w:val="left" w:pos="-720"/>
          <w:tab w:val="left" w:pos="0"/>
        </w:tabs>
        <w:spacing w:line="287" w:lineRule="auto"/>
      </w:pPr>
      <w:r>
        <w:tab/>
        <w:t>c.</w:t>
      </w:r>
      <w:r>
        <w:tab/>
        <w:t>As used in this section:</w:t>
      </w:r>
    </w:p>
    <w:p w:rsidR="007071AB" w:rsidRDefault="007071AB" w:rsidP="007071AB">
      <w:pPr>
        <w:widowControl w:val="0"/>
        <w:tabs>
          <w:tab w:val="left" w:pos="-1440"/>
          <w:tab w:val="left" w:pos="-720"/>
          <w:tab w:val="left" w:pos="0"/>
        </w:tabs>
        <w:spacing w:line="287" w:lineRule="auto"/>
      </w:pPr>
      <w:r>
        <w:tab/>
        <w:t>(1)</w:t>
      </w:r>
      <w:r>
        <w:tab/>
        <w:t>"Act of God" means an act, event, happening or occurrence due to natural causes and includes, but is not limited to, weather conditions such as lightning, hurricanes, tornadoes, ocean surf, squalls of wind, freezing temperatures and drought; and</w:t>
      </w:r>
    </w:p>
    <w:p w:rsidR="007071AB" w:rsidRDefault="007071AB" w:rsidP="007071AB">
      <w:pPr>
        <w:widowControl w:val="0"/>
        <w:tabs>
          <w:tab w:val="left" w:pos="-1440"/>
          <w:tab w:val="left" w:pos="-720"/>
          <w:tab w:val="left" w:pos="0"/>
        </w:tabs>
        <w:spacing w:line="287" w:lineRule="auto"/>
      </w:pPr>
      <w:r>
        <w:tab/>
        <w:t>(2)</w:t>
      </w:r>
      <w:r>
        <w:tab/>
        <w:t>"Public entity" means a public entity as defined in N.J.S.59:1-3.</w:t>
      </w:r>
    </w:p>
    <w:p w:rsidR="007071AB" w:rsidRDefault="007071AB" w:rsidP="007071AB">
      <w:pPr>
        <w:widowControl w:val="0"/>
        <w:tabs>
          <w:tab w:val="left" w:pos="-1440"/>
          <w:tab w:val="left" w:pos="-720"/>
          <w:tab w:val="left" w:pos="0"/>
        </w:tabs>
        <w:spacing w:line="287" w:lineRule="auto"/>
      </w:pPr>
    </w:p>
    <w:p w:rsidR="007071AB" w:rsidRDefault="00596138" w:rsidP="007071AB">
      <w:pPr>
        <w:widowControl w:val="0"/>
        <w:tabs>
          <w:tab w:val="left" w:pos="-1440"/>
          <w:tab w:val="left" w:pos="-720"/>
          <w:tab w:val="left" w:pos="0"/>
        </w:tabs>
        <w:spacing w:line="287" w:lineRule="auto"/>
      </w:pPr>
      <w:r>
        <w:tab/>
      </w:r>
      <w:r w:rsidR="007071AB">
        <w:t>4.</w:t>
      </w:r>
      <w:r w:rsidR="007071AB">
        <w:tab/>
        <w:t>This act shall take effect immediately.</w:t>
      </w:r>
    </w:p>
    <w:p w:rsidR="00461EDA" w:rsidRDefault="00461EDA" w:rsidP="007071AB">
      <w:pPr>
        <w:widowControl w:val="0"/>
        <w:tabs>
          <w:tab w:val="left" w:pos="-1440"/>
          <w:tab w:val="left" w:pos="-720"/>
          <w:tab w:val="left" w:pos="0"/>
        </w:tabs>
        <w:spacing w:line="287" w:lineRule="auto"/>
      </w:pPr>
    </w:p>
    <w:p w:rsidR="007071AB" w:rsidRDefault="007071AB" w:rsidP="00461EDA">
      <w:pPr>
        <w:widowControl w:val="0"/>
        <w:tabs>
          <w:tab w:val="left" w:pos="-1440"/>
          <w:tab w:val="left" w:pos="-720"/>
          <w:tab w:val="left" w:pos="0"/>
        </w:tabs>
        <w:spacing w:line="287" w:lineRule="auto"/>
        <w:jc w:val="center"/>
      </w:pPr>
      <w:r>
        <w:t>STATEMENT</w:t>
      </w:r>
    </w:p>
    <w:p w:rsidR="007071AB" w:rsidRDefault="007071AB" w:rsidP="007071AB">
      <w:pPr>
        <w:widowControl w:val="0"/>
        <w:tabs>
          <w:tab w:val="left" w:pos="-1440"/>
          <w:tab w:val="left" w:pos="-720"/>
          <w:tab w:val="left" w:pos="0"/>
        </w:tabs>
        <w:spacing w:line="287" w:lineRule="auto"/>
      </w:pPr>
      <w:r>
        <w:tab/>
        <w:t xml:space="preserve">This bill would restore the immunity of public entities and public employees for injuries that occur on public beaches.  The "New </w:t>
      </w:r>
      <w:r>
        <w:lastRenderedPageBreak/>
        <w:t xml:space="preserve">Jersey Tort Claims Act," N.J.S.59:1-1 et seq. provides immunity from injury caused by a condition of any unimproved public property, including any natural condition of a beach.  The act also provides that a public entity or public employee is not liable for failing to provide supervision of a public recreational facility, although liability would attach for negligent supervision.  The act and New Jersey Supreme Court decisions have held that when an immunity provision and a liability provision exist, the immunity provision "trumps" the liability.  Despite this language, a recent court decision for the first time found that a claim could be brought against a municipality when a swimmer was injured by the strong surf at a beach if a lifeguard was present.  In </w:t>
      </w:r>
      <w:proofErr w:type="spellStart"/>
      <w:r>
        <w:rPr>
          <w:u w:val="single"/>
        </w:rPr>
        <w:t>Fleuhr</w:t>
      </w:r>
      <w:proofErr w:type="spellEnd"/>
      <w:r>
        <w:t xml:space="preserve"> v. </w:t>
      </w:r>
      <w:r>
        <w:rPr>
          <w:u w:val="single"/>
        </w:rPr>
        <w:t>City of Cape May</w:t>
      </w:r>
      <w:r>
        <w:t>, (App. Div. July, 1997) the Appellate Division ruled that a person injured solely due to surf conditions had no cause of action against a public entity.  The court also held that there is no requirement that a municipality provide lifeguards at beaches or to post signs informing bathers of water conditions.  However, if lifeguards are provided, the court ruled that a municipality may be sued on the grounds that the lifeguards acted in a negligently manner.  Thus, a municipality would have less exposure to liability if it did not post lifeguards at the beach than if a lifeguard were present.  This bill would clarify and strengthen the act by providing that public employees and public entities are immune from liability for any injury that occurs that arises out of an act of omission or commission by a person serving as a lifeguard on unimproved public property.  This bill would thus remove legal disincentives for municipalities to provide lifeguards at the public beaches.</w:t>
      </w:r>
    </w:p>
    <w:p w:rsidR="007071AB" w:rsidRDefault="007071AB" w:rsidP="007071AB">
      <w:pPr>
        <w:widowControl w:val="0"/>
        <w:tabs>
          <w:tab w:val="left" w:pos="-1440"/>
          <w:tab w:val="left" w:pos="-720"/>
          <w:tab w:val="left" w:pos="0"/>
        </w:tabs>
        <w:spacing w:line="287" w:lineRule="auto"/>
      </w:pPr>
      <w:r>
        <w:tab/>
        <w:t xml:space="preserve">The bill would also provide immunity to a person, corporation or public entity for damages resulting from an act of god, or for damages caused by negligent acts in the implementation of procedures or the operation of equipment designed to warn or detect an act of god.  In </w:t>
      </w:r>
      <w:r>
        <w:rPr>
          <w:u w:val="single"/>
        </w:rPr>
        <w:t xml:space="preserve">Van </w:t>
      </w:r>
      <w:proofErr w:type="spellStart"/>
      <w:r>
        <w:rPr>
          <w:u w:val="single"/>
        </w:rPr>
        <w:t>Maussner</w:t>
      </w:r>
      <w:proofErr w:type="spellEnd"/>
      <w:r>
        <w:t xml:space="preserve"> v. </w:t>
      </w:r>
      <w:r>
        <w:rPr>
          <w:u w:val="single"/>
        </w:rPr>
        <w:t>Atlantic City Country Club</w:t>
      </w:r>
      <w:r>
        <w:t xml:space="preserve">, 299 N.J. Super. 535 (1997), a golfer sued a county club for injuries caused by lightning.  The Appellate Division ruled in </w:t>
      </w:r>
      <w:r>
        <w:rPr>
          <w:u w:val="single"/>
        </w:rPr>
        <w:t xml:space="preserve">Van </w:t>
      </w:r>
      <w:proofErr w:type="spellStart"/>
      <w:r>
        <w:rPr>
          <w:u w:val="single"/>
        </w:rPr>
        <w:t>Maussner</w:t>
      </w:r>
      <w:proofErr w:type="spellEnd"/>
      <w:r>
        <w:t xml:space="preserve"> that while a golf club had no obligation to establish procedures for warning golfers of impending lightning strikes, if the club established such procedures and those procedures were not followed properly, the club could be held liable.</w:t>
      </w:r>
    </w:p>
    <w:p w:rsidR="007071AB" w:rsidRDefault="007071AB" w:rsidP="007071AB">
      <w:pPr>
        <w:widowControl w:val="0"/>
        <w:tabs>
          <w:tab w:val="left" w:pos="-1440"/>
          <w:tab w:val="left" w:pos="-720"/>
          <w:tab w:val="left" w:pos="0"/>
        </w:tabs>
        <w:spacing w:line="287" w:lineRule="auto"/>
      </w:pPr>
      <w:r>
        <w:tab/>
        <w:t xml:space="preserve">The </w:t>
      </w:r>
      <w:proofErr w:type="spellStart"/>
      <w:r>
        <w:rPr>
          <w:u w:val="single"/>
        </w:rPr>
        <w:t>Fleuhr</w:t>
      </w:r>
      <w:proofErr w:type="spellEnd"/>
      <w:r>
        <w:t xml:space="preserve"> and </w:t>
      </w:r>
      <w:r>
        <w:rPr>
          <w:u w:val="single"/>
        </w:rPr>
        <w:t xml:space="preserve">Van </w:t>
      </w:r>
      <w:proofErr w:type="spellStart"/>
      <w:r>
        <w:rPr>
          <w:u w:val="single"/>
        </w:rPr>
        <w:t>Maussner</w:t>
      </w:r>
      <w:proofErr w:type="spellEnd"/>
      <w:r>
        <w:t xml:space="preserve"> decisions discourage both public and private entities from acting in a responsible manner by imposing liability only in circumstances when the entity has taken steps (provided lifeguards, instituted lightning warning procedures) to try to protect the public from injuries caused by natural conditions.</w:t>
      </w:r>
    </w:p>
    <w:p w:rsidR="007071AB" w:rsidRPr="00E7752C" w:rsidRDefault="007071AB" w:rsidP="00461EDA">
      <w:pPr>
        <w:widowControl w:val="0"/>
        <w:tabs>
          <w:tab w:val="left" w:pos="-1440"/>
          <w:tab w:val="left" w:pos="-720"/>
          <w:tab w:val="left" w:pos="0"/>
        </w:tabs>
        <w:spacing w:line="287" w:lineRule="auto"/>
      </w:pPr>
      <w:r>
        <w:tab/>
        <w:t xml:space="preserve">In order to address these concerns, section 3 of the bill would provide civil immunity to both public and private entities for injuries caused by acts of God.  The bill defines "act of God" to include weather conditions such as lightning, hurricanes, tornadoes, </w:t>
      </w:r>
      <w:r>
        <w:lastRenderedPageBreak/>
        <w:t>ocean surf, squalls of wind, freezing temperatures and drought.  The bill would also provide that a public or private entity could not be held civilly liable for damages allegedly caused by negligent acts in the implementation of procedures or the operation of equipment designed to warn of the occurrence of an act of God or to mitigate the effects of an act of God.  Activities covered by this provision would include the stationing of lifeguards at pools and the installation of lightning warning devices.  Thus, the bill would encourage persons to take steps to safeguard persons from acts of God.</w:t>
      </w:r>
    </w:p>
    <w:sectPr w:rsidR="007071AB" w:rsidRPr="00E7752C" w:rsidSect="00461EDA">
      <w:headerReference w:type="default" r:id="rId13"/>
      <w:footerReference w:type="default" r:id="rId14"/>
      <w:headerReference w:type="first" r:id="rId15"/>
      <w:footerReference w:type="first" r:id="rId16"/>
      <w:pgSz w:w="12240" w:h="20160" w:code="5"/>
      <w:pgMar w:top="1440" w:right="2520" w:bottom="1728" w:left="2880" w:header="1181" w:footer="55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439" w:rsidRDefault="00006439">
      <w:r>
        <w:separator/>
      </w:r>
    </w:p>
  </w:endnote>
  <w:endnote w:type="continuationSeparator" w:id="0">
    <w:p w:rsidR="00006439" w:rsidRDefault="00006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EDA" w:rsidRPr="00921C91" w:rsidRDefault="00461E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1EDA" w:rsidRPr="00921C91" w:rsidRDefault="00461EDA">
    <w:pPr>
      <w:pStyle w:val="Footer"/>
      <w:rPr>
        <w:szCs w:val="18"/>
      </w:rPr>
    </w:pPr>
  </w:p>
  <w:p w:rsidR="00461EDA" w:rsidRPr="00921C91" w:rsidRDefault="00461E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1EDA" w:rsidRDefault="00461ED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439" w:rsidRDefault="00006439">
      <w:r>
        <w:separator/>
      </w:r>
    </w:p>
  </w:footnote>
  <w:footnote w:type="continuationSeparator" w:id="0">
    <w:p w:rsidR="00006439" w:rsidRDefault="00006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15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61EDA" w:rsidRDefault="00461EDA" w:rsidP="00461EDA">
    <w:pPr>
      <w:pStyle w:val="bpuHeadSpon"/>
    </w:pPr>
    <w:r w:rsidRPr="00461EDA">
      <w:rPr>
        <w:rStyle w:val="bpuHeadSponChar"/>
      </w:rPr>
      <w:t>S657</w:t>
    </w:r>
    <w:r>
      <w:t xml:space="preserve"> THOMPSON</w:t>
    </w:r>
  </w:p>
  <w:p w:rsidR="00461EDA" w:rsidRDefault="00461EDA" w:rsidP="00461EDA">
    <w:pPr>
      <w:pStyle w:val="bpuHeadSpon"/>
    </w:pPr>
    <w:r>
      <w:fldChar w:fldCharType="begin"/>
    </w:r>
    <w:r>
      <w:instrText xml:space="preserve"> PAGE  \* MERGEFORMAT </w:instrText>
    </w:r>
    <w:r>
      <w:fldChar w:fldCharType="separate"/>
    </w:r>
    <w:r w:rsidR="009A247E">
      <w:rPr>
        <w:noProof/>
      </w:rPr>
      <w:t>4</w:t>
    </w:r>
    <w:r>
      <w:fldChar w:fldCharType="end"/>
    </w:r>
  </w:p>
  <w:p w:rsidR="00461EDA" w:rsidRPr="00AF575C" w:rsidRDefault="00461EDA" w:rsidP="00461E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EDA" w:rsidRDefault="00461EDA" w:rsidP="00461EDA">
    <w:pPr>
      <w:pStyle w:val="bpuHeadSpon"/>
    </w:pPr>
    <w:r w:rsidRPr="00461EDA">
      <w:rPr>
        <w:rStyle w:val="bpuHeadSponChar"/>
      </w:rPr>
      <w:t>S657</w:t>
    </w:r>
    <w:r>
      <w:t xml:space="preserve"> THOMPSON</w:t>
    </w:r>
  </w:p>
  <w:p w:rsidR="00461EDA" w:rsidRDefault="00461EDA" w:rsidP="00461EDA">
    <w:pPr>
      <w:pStyle w:val="bpuHeadSpon"/>
    </w:pPr>
    <w:r>
      <w:fldChar w:fldCharType="begin"/>
    </w:r>
    <w:r>
      <w:instrText xml:space="preserve"> PAGE  \* MERGEFORMAT </w:instrText>
    </w:r>
    <w:r>
      <w:fldChar w:fldCharType="separate"/>
    </w:r>
    <w:r w:rsidR="009A247E">
      <w:rPr>
        <w:noProof/>
      </w:rPr>
      <w:t>2</w:t>
    </w:r>
    <w:r>
      <w:fldChar w:fldCharType="end"/>
    </w:r>
  </w:p>
  <w:p w:rsidR="00461EDA" w:rsidRDefault="00461EDA" w:rsidP="00461E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439"/>
    <w:rsid w:val="00000169"/>
    <w:rsid w:val="00004C99"/>
    <w:rsid w:val="00004D4D"/>
    <w:rsid w:val="00006439"/>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E95"/>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6E5"/>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1ED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138"/>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1AB"/>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47E"/>
    <w:rsid w:val="009A28BB"/>
    <w:rsid w:val="009A5E9B"/>
    <w:rsid w:val="009B0B5A"/>
    <w:rsid w:val="009B141C"/>
    <w:rsid w:val="009B5662"/>
    <w:rsid w:val="009C3EDF"/>
    <w:rsid w:val="009C76BC"/>
    <w:rsid w:val="009D5C82"/>
    <w:rsid w:val="009D7F8E"/>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FE2"/>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098C826-73BF-4B77-B829-891590411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61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49225-3626-4020-A471-416D6C74A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1039</Words>
  <Characters>5344</Characters>
  <Application>Microsoft Office Word</Application>
  <DocSecurity>0</DocSecurity>
  <Lines>130</Lines>
  <Paragraphs>29</Paragraphs>
  <ScaleCrop>false</ScaleCrop>
  <HeadingPairs>
    <vt:vector size="2" baseType="variant">
      <vt:variant>
        <vt:lpstr>Title</vt:lpstr>
      </vt:variant>
      <vt:variant>
        <vt:i4>1</vt:i4>
      </vt:variant>
    </vt:vector>
  </HeadingPairs>
  <TitlesOfParts>
    <vt:vector size="1" baseType="lpstr">
      <vt:lpstr>S657</vt:lpstr>
    </vt:vector>
  </TitlesOfParts>
  <Manager>R230</Manager>
  <Company>OFFICE of LEGISLATIVE SERVICES</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S657</dc:title>
  <dc:creator>Senator  THOMPSON</dc:creator>
  <cp:keywords>S657|4|CL |314|0|0|!|0|</cp:keywords>
  <dc:description>PREFILED 2020</dc:description>
  <cp:lastModifiedBy>Bektas, Brenda</cp:lastModifiedBy>
  <cp:revision>2</cp:revision>
  <cp:lastPrinted>2005-07-29T18:13:00Z</cp:lastPrinted>
  <dcterms:created xsi:type="dcterms:W3CDTF">2020-01-10T14:12:00Z</dcterms:created>
  <dcterms:modified xsi:type="dcterms:W3CDTF">2020-01-10T14:12:00Z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