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5E22" w:rsidRDefault="00E55E22" w:rsidP="00E55E22">
      <w:pPr>
        <w:pStyle w:val="bpuReprint"/>
      </w:pPr>
      <w:bookmarkStart w:id="0" w:name="bpuFrontPg"/>
      <w:bookmarkStart w:id="1" w:name="_GoBack"/>
      <w:bookmarkEnd w:id="0"/>
      <w:bookmarkEnd w:id="1"/>
      <w:r>
        <w:t>[First Reprint]</w:t>
      </w:r>
    </w:p>
    <w:p w:rsidR="00A92732" w:rsidRDefault="00A92732" w:rsidP="00A92732">
      <w:pPr>
        <w:pStyle w:val="bpuBill"/>
      </w:pPr>
      <w:r>
        <w:t xml:space="preserve">SENATE, No. 697 </w:t>
      </w:r>
    </w:p>
    <w:p w:rsidR="00A92732" w:rsidRPr="00A92732" w:rsidRDefault="00A92732" w:rsidP="00A927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82321608" r:id="rId8"/>
        </w:object>
      </w:r>
    </w:p>
    <w:p w:rsidR="00A92732" w:rsidRDefault="00A92732" w:rsidP="00A92732">
      <w:pPr>
        <w:pStyle w:val="bpuState"/>
      </w:pPr>
      <w:r>
        <w:t>STATE OF NEW JERSEY</w:t>
      </w:r>
    </w:p>
    <w:p w:rsidR="00A92732" w:rsidRDefault="00A92732" w:rsidP="00A92732">
      <w:pPr>
        <w:pStyle w:val="bpuLegislature"/>
      </w:pPr>
      <w:r>
        <w:t>219th LEGISLATURE</w:t>
      </w:r>
    </w:p>
    <w:p w:rsidR="00A92732" w:rsidRDefault="00A92732" w:rsidP="00A92732">
      <w:pPr>
        <w:pStyle w:val="bpuWpGraphic"/>
      </w:pPr>
      <w:r>
        <w:object w:dxaOrig="8985" w:dyaOrig="255">
          <v:shape id="_x0000_i1026" type="#_x0000_t75" style="width:6in;height:11.25pt" o:ole="">
            <v:imagedata r:id="rId7" o:title=""/>
          </v:shape>
          <o:OLEObject Type="Embed" ProgID="WPWin6.1" ShapeID="_x0000_i1026" DrawAspect="Content" ObjectID="_1682321609" r:id="rId9"/>
        </w:object>
      </w:r>
      <w:r>
        <w:t xml:space="preserve">  </w:t>
      </w:r>
    </w:p>
    <w:p w:rsidR="00A92732" w:rsidRDefault="00A92732" w:rsidP="00A92732">
      <w:pPr>
        <w:pStyle w:val="bpuIntro"/>
      </w:pPr>
      <w:r>
        <w:t>PRE-FILED FOR INTRODUCTION IN THE 2020 SESSION</w:t>
      </w:r>
    </w:p>
    <w:p w:rsidR="00A92732" w:rsidRDefault="00A92732" w:rsidP="00A92732">
      <w:pPr>
        <w:pStyle w:val="bpuIntro"/>
      </w:pPr>
    </w:p>
    <w:p w:rsidR="00A92732" w:rsidRDefault="00A92732" w:rsidP="00A92732">
      <w:pPr>
        <w:pStyle w:val="bpuIntro"/>
        <w:sectPr w:rsidR="00A92732" w:rsidSect="009E656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92732" w:rsidRDefault="00A92732" w:rsidP="00A92732">
      <w:pPr>
        <w:pStyle w:val="bpuIntro"/>
      </w:pPr>
    </w:p>
    <w:p w:rsidR="00A92732" w:rsidRDefault="00A92732" w:rsidP="00A92732">
      <w:pPr>
        <w:pStyle w:val="bpuSponsor"/>
      </w:pPr>
      <w:r>
        <w:t>Sponsored by:</w:t>
      </w:r>
    </w:p>
    <w:p w:rsidR="00A92732" w:rsidRDefault="00A92732" w:rsidP="00A92732">
      <w:pPr>
        <w:pStyle w:val="bpuSponsor"/>
      </w:pPr>
      <w:r>
        <w:t>Senator  M. TERESA RUIZ</w:t>
      </w:r>
    </w:p>
    <w:p w:rsidR="00A92732" w:rsidRDefault="00A92732" w:rsidP="00A92732">
      <w:pPr>
        <w:pStyle w:val="bpuSponsor"/>
      </w:pPr>
      <w:r>
        <w:t>District 29 (Essex)</w:t>
      </w:r>
    </w:p>
    <w:p w:rsidR="00A92732" w:rsidRDefault="009E656D" w:rsidP="009E656D">
      <w:pPr>
        <w:pStyle w:val="bpuSponsor"/>
      </w:pPr>
      <w:r>
        <w:t>Senator  SHIRLEY K. TURNER</w:t>
      </w:r>
    </w:p>
    <w:p w:rsidR="009E656D" w:rsidRDefault="009E656D" w:rsidP="009E656D">
      <w:pPr>
        <w:pStyle w:val="bpuSponsor"/>
      </w:pPr>
      <w:r>
        <w:t>District 15 (Hunterdon and Mercer)</w:t>
      </w:r>
    </w:p>
    <w:p w:rsidR="009E656D" w:rsidRPr="009E656D" w:rsidRDefault="009E656D" w:rsidP="009E656D">
      <w:pPr>
        <w:pStyle w:val="bpuSponsor"/>
      </w:pPr>
    </w:p>
    <w:p w:rsidR="00A92732" w:rsidRDefault="00A92732" w:rsidP="00A92732">
      <w:pPr>
        <w:pStyle w:val="bpuSponsor"/>
      </w:pPr>
    </w:p>
    <w:p w:rsidR="00A92732" w:rsidRDefault="00A92732" w:rsidP="00A92732">
      <w:pPr>
        <w:pStyle w:val="bpuSponsor"/>
      </w:pPr>
    </w:p>
    <w:p w:rsidR="00A92732" w:rsidRDefault="00A92732" w:rsidP="00A92732">
      <w:pPr>
        <w:pStyle w:val="bpuSponsor"/>
      </w:pPr>
    </w:p>
    <w:p w:rsidR="00A92732" w:rsidRDefault="00A92732" w:rsidP="00A92732">
      <w:pPr>
        <w:pStyle w:val="bpuSponsor"/>
      </w:pPr>
      <w:r>
        <w:t>SYNOPSIS</w:t>
      </w:r>
    </w:p>
    <w:p w:rsidR="00A92732" w:rsidRDefault="00A92732" w:rsidP="00A92732">
      <w:pPr>
        <w:pStyle w:val="bpuNormText"/>
      </w:pPr>
      <w:r>
        <w:tab/>
        <w:t xml:space="preserve">Authorizes common law public nuisance suits regarding lead paint under State law; exempts Attorney General from certain aspects of public nuisance claims when pursuing lead paint actions. </w:t>
      </w:r>
    </w:p>
    <w:p w:rsidR="00A92732" w:rsidRDefault="00A92732" w:rsidP="00A92732">
      <w:pPr>
        <w:pStyle w:val="bpuNormText"/>
      </w:pPr>
    </w:p>
    <w:p w:rsidR="00A92732" w:rsidRDefault="00A92732" w:rsidP="00A92732">
      <w:pPr>
        <w:pStyle w:val="bpuSponsor"/>
      </w:pPr>
      <w:r>
        <w:t xml:space="preserve">CURRENT VERSION OF TEXT </w:t>
      </w:r>
    </w:p>
    <w:p w:rsidR="00A92732" w:rsidRDefault="00E55E22" w:rsidP="00A92732">
      <w:pPr>
        <w:pStyle w:val="bpuNormText"/>
      </w:pPr>
      <w:r>
        <w:tab/>
        <w:t>As reported by the Senate Environment and Energy Committee on May 11, 2021, with amendments.</w:t>
      </w:r>
    </w:p>
    <w:p w:rsidR="00A92732" w:rsidRDefault="00A92732" w:rsidP="00A9273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92732" w:rsidRDefault="00A9273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92732" w:rsidSect="00A92732">
          <w:type w:val="continuous"/>
          <w:pgSz w:w="12240" w:h="20160" w:code="5"/>
          <w:pgMar w:top="2160" w:right="2275" w:bottom="1440" w:left="2275" w:header="72" w:footer="720" w:gutter="0"/>
          <w:pgNumType w:start="1"/>
          <w:cols w:space="720"/>
          <w:docGrid w:linePitch="360"/>
        </w:sectPr>
      </w:pPr>
    </w:p>
    <w:p w:rsidR="007C03B1" w:rsidRPr="00677316" w:rsidRDefault="007C03B1" w:rsidP="007C03B1">
      <w:pPr>
        <w:pStyle w:val="HangingAnAct"/>
        <w:rPr>
          <w:rStyle w:val="HangingAnActChar"/>
        </w:rPr>
      </w:pPr>
      <w:r w:rsidRPr="007C03B1">
        <w:rPr>
          <w:rStyle w:val="BillHead"/>
        </w:rPr>
        <w:lastRenderedPageBreak/>
        <w:t>An Act</w:t>
      </w:r>
      <w:r w:rsidRPr="006B7FA7">
        <w:rPr>
          <w:rStyle w:val="HangingAnActChar"/>
        </w:rPr>
        <w:t xml:space="preserve"> </w:t>
      </w:r>
      <w:r w:rsidRPr="008D2E0C">
        <w:t>concerning public nuisance actions related to lead paint, supplementing P.L.1971, c.366 (C.24:14A-1 et seq.), and amending P.L.1987, c.197.</w:t>
      </w:r>
    </w:p>
    <w:p w:rsidR="007C03B1" w:rsidRPr="00D71D68" w:rsidRDefault="007C03B1" w:rsidP="007C03B1"/>
    <w:p w:rsidR="007C03B1" w:rsidRPr="00AA7880" w:rsidRDefault="007C03B1" w:rsidP="007C03B1">
      <w:r>
        <w:tab/>
      </w:r>
      <w:r>
        <w:rPr>
          <w:rStyle w:val="BillHeading2"/>
        </w:rPr>
        <w:t xml:space="preserve">Be It Enacted </w:t>
      </w:r>
      <w:r>
        <w:rPr>
          <w:rStyle w:val="BillLanguage"/>
        </w:rPr>
        <w:t>by the Senate and General Assembly of the State of New Jersey:</w:t>
      </w:r>
    </w:p>
    <w:p w:rsidR="007C03B1" w:rsidRPr="00AA7880" w:rsidRDefault="007C03B1" w:rsidP="007C03B1"/>
    <w:p w:rsidR="00E55E22" w:rsidRDefault="00E55E22" w:rsidP="00E55E22">
      <w:r>
        <w:tab/>
        <w:t>1.</w:t>
      </w:r>
      <w:r>
        <w:tab/>
        <w:t>(New section) Nothing in P.L.1971, c.</w:t>
      </w:r>
      <w:r w:rsidRPr="00206146">
        <w:t>366</w:t>
      </w:r>
      <w:r>
        <w:t xml:space="preserve"> (C.</w:t>
      </w:r>
      <w:r w:rsidRPr="00206146">
        <w:t>24:14A-1</w:t>
      </w:r>
      <w:r>
        <w:t xml:space="preserve"> et seq.) shall preclude recourse to any other remedy available pursuant to common law for a violation of </w:t>
      </w:r>
      <w:r w:rsidRPr="00206146">
        <w:t>P.L.1971, c.366 (C.24:14A-1 et seq.)</w:t>
      </w:r>
      <w:r>
        <w:t xml:space="preserve"> or for damages </w:t>
      </w:r>
      <w:r>
        <w:rPr>
          <w:rFonts w:ascii="Albertus Extra Bold" w:hAnsi="Albertus Extra Bold"/>
          <w:b/>
          <w:vertAlign w:val="superscript"/>
        </w:rPr>
        <w:t>1</w:t>
      </w:r>
      <w:r w:rsidRPr="0034606B">
        <w:rPr>
          <w:rFonts w:ascii="Albertus Extra Bold" w:hAnsi="Albertus Extra Bold"/>
          <w:b/>
        </w:rPr>
        <w:t>[</w:t>
      </w:r>
      <w:r>
        <w:t>caused by</w:t>
      </w:r>
      <w:r w:rsidRPr="0034606B">
        <w:rPr>
          <w:rFonts w:ascii="Albertus Extra Bold" w:hAnsi="Albertus Extra Bold"/>
          <w:b/>
        </w:rPr>
        <w:t>]</w:t>
      </w:r>
      <w:r>
        <w:t xml:space="preserve"> </w:t>
      </w:r>
      <w:r>
        <w:rPr>
          <w:u w:val="single"/>
        </w:rPr>
        <w:t>, abatement, or any other appropriate legal or equitable relief related to</w:t>
      </w:r>
      <w:r w:rsidRPr="0034606B">
        <w:rPr>
          <w:rFonts w:ascii="Albertus Extra Bold" w:hAnsi="Albertus Extra Bold"/>
          <w:b/>
          <w:vertAlign w:val="superscript"/>
        </w:rPr>
        <w:t>1</w:t>
      </w:r>
      <w:r>
        <w:t xml:space="preserve"> the </w:t>
      </w:r>
      <w:r>
        <w:rPr>
          <w:rFonts w:ascii="Albertus Extra Bold" w:hAnsi="Albertus Extra Bold"/>
          <w:b/>
          <w:vertAlign w:val="superscript"/>
        </w:rPr>
        <w:t>1</w:t>
      </w:r>
      <w:r>
        <w:rPr>
          <w:u w:val="single"/>
        </w:rPr>
        <w:t>manufacture,</w:t>
      </w:r>
      <w:r w:rsidRPr="0034606B">
        <w:rPr>
          <w:rFonts w:ascii="Albertus Extra Bold" w:hAnsi="Albertus Extra Bold"/>
          <w:b/>
          <w:vertAlign w:val="superscript"/>
        </w:rPr>
        <w:t>1</w:t>
      </w:r>
      <w:r>
        <w:t xml:space="preserve"> sale </w:t>
      </w:r>
      <w:r>
        <w:rPr>
          <w:rFonts w:ascii="Albertus Extra Bold" w:hAnsi="Albertus Extra Bold"/>
          <w:b/>
          <w:vertAlign w:val="superscript"/>
        </w:rPr>
        <w:t>1</w:t>
      </w:r>
      <w:r w:rsidRPr="0034606B">
        <w:rPr>
          <w:rFonts w:ascii="Albertus Extra Bold" w:hAnsi="Albertus Extra Bold"/>
          <w:b/>
        </w:rPr>
        <w:t>[</w:t>
      </w:r>
      <w:r>
        <w:t>or</w:t>
      </w:r>
      <w:r w:rsidRPr="0034606B">
        <w:rPr>
          <w:rFonts w:ascii="Albertus Extra Bold" w:hAnsi="Albertus Extra Bold"/>
          <w:b/>
        </w:rPr>
        <w:t>]</w:t>
      </w:r>
      <w:r>
        <w:t xml:space="preserve"> </w:t>
      </w:r>
      <w:r>
        <w:rPr>
          <w:u w:val="single"/>
        </w:rPr>
        <w:t>,</w:t>
      </w:r>
      <w:r w:rsidRPr="0034606B">
        <w:rPr>
          <w:rFonts w:ascii="Albertus Extra Bold" w:hAnsi="Albertus Extra Bold"/>
          <w:b/>
          <w:vertAlign w:val="superscript"/>
        </w:rPr>
        <w:t>1</w:t>
      </w:r>
      <w:r>
        <w:t xml:space="preserve"> distribution </w:t>
      </w:r>
      <w:r>
        <w:rPr>
          <w:rFonts w:ascii="Albertus Extra Bold" w:hAnsi="Albertus Extra Bold"/>
          <w:b/>
          <w:vertAlign w:val="superscript"/>
        </w:rPr>
        <w:t>1</w:t>
      </w:r>
      <w:r>
        <w:rPr>
          <w:u w:val="single"/>
        </w:rPr>
        <w:t>, or use in dwellings</w:t>
      </w:r>
      <w:r w:rsidRPr="0034606B">
        <w:rPr>
          <w:rFonts w:ascii="Albertus Extra Bold" w:hAnsi="Albertus Extra Bold"/>
          <w:b/>
          <w:vertAlign w:val="superscript"/>
        </w:rPr>
        <w:t>1</w:t>
      </w:r>
      <w:r>
        <w:t xml:space="preserve"> of lead paint </w:t>
      </w:r>
      <w:r>
        <w:rPr>
          <w:rFonts w:ascii="Albertus Extra Bold" w:hAnsi="Albertus Extra Bold"/>
          <w:b/>
          <w:vertAlign w:val="superscript"/>
        </w:rPr>
        <w:t>1</w:t>
      </w:r>
      <w:r w:rsidRPr="0034606B">
        <w:rPr>
          <w:rFonts w:ascii="Albertus Extra Bold" w:hAnsi="Albertus Extra Bold"/>
          <w:b/>
        </w:rPr>
        <w:t>[</w:t>
      </w:r>
      <w:r>
        <w:t>and the subsequent use of such lead paint in dwellings</w:t>
      </w:r>
      <w:r w:rsidRPr="0034606B">
        <w:rPr>
          <w:rFonts w:ascii="Albertus Extra Bold" w:hAnsi="Albertus Extra Bold"/>
          <w:b/>
        </w:rPr>
        <w:t>]</w:t>
      </w:r>
      <w:r w:rsidRPr="003852CC">
        <w:t xml:space="preserve"> </w:t>
      </w:r>
      <w:r>
        <w:rPr>
          <w:u w:val="single"/>
        </w:rPr>
        <w:t>or the production, promotion, or distribution of lead pigments for use in residential paints or coatings</w:t>
      </w:r>
      <w:r>
        <w:rPr>
          <w:rFonts w:ascii="Albertus Extra Bold" w:hAnsi="Albertus Extra Bold"/>
          <w:b/>
          <w:vertAlign w:val="superscript"/>
        </w:rPr>
        <w:t>1</w:t>
      </w:r>
      <w:r>
        <w:t xml:space="preserve">.  </w:t>
      </w:r>
    </w:p>
    <w:p w:rsidR="007C03B1" w:rsidRDefault="007C03B1" w:rsidP="007C03B1"/>
    <w:p w:rsidR="00E55E22" w:rsidRPr="00543B38" w:rsidRDefault="00E55E22" w:rsidP="00E55E22">
      <w:pPr>
        <w:rPr>
          <w:rFonts w:ascii="Albertus Extra Bold" w:hAnsi="Albertus Extra Bold"/>
          <w:b/>
          <w:u w:val="single"/>
          <w:vertAlign w:val="superscript"/>
        </w:rPr>
      </w:pPr>
      <w:r>
        <w:tab/>
        <w:t xml:space="preserve">2.  (New section)  The Attorney General may bring an action for damages </w:t>
      </w:r>
      <w:r>
        <w:rPr>
          <w:rFonts w:ascii="Albertus Extra Bold" w:hAnsi="Albertus Extra Bold"/>
          <w:b/>
          <w:vertAlign w:val="superscript"/>
        </w:rPr>
        <w:t>1</w:t>
      </w:r>
      <w:r>
        <w:rPr>
          <w:u w:val="single"/>
        </w:rPr>
        <w:t>, abatement, and any other appropriate legal or equitable relief</w:t>
      </w:r>
      <w:r w:rsidRPr="00543B38">
        <w:rPr>
          <w:rFonts w:ascii="Albertus Extra Bold" w:hAnsi="Albertus Extra Bold"/>
          <w:b/>
          <w:vertAlign w:val="superscript"/>
        </w:rPr>
        <w:t>1</w:t>
      </w:r>
      <w:r>
        <w:t xml:space="preserve"> against a former or present lead paint manufacturer </w:t>
      </w:r>
      <w:r>
        <w:rPr>
          <w:rFonts w:ascii="Albertus Extra Bold" w:hAnsi="Albertus Extra Bold"/>
          <w:b/>
          <w:vertAlign w:val="superscript"/>
        </w:rPr>
        <w:t>1</w:t>
      </w:r>
      <w:r>
        <w:rPr>
          <w:u w:val="single"/>
        </w:rPr>
        <w:t>or an entity that produced, promoted, or distributed lead pigments for use in residential paints or coatings</w:t>
      </w:r>
      <w:r w:rsidRPr="00944C0E">
        <w:rPr>
          <w:rFonts w:ascii="Albertus Extra Bold" w:hAnsi="Albertus Extra Bold"/>
          <w:b/>
          <w:vertAlign w:val="superscript"/>
        </w:rPr>
        <w:t>1</w:t>
      </w:r>
      <w:r>
        <w:t xml:space="preserve"> pursuant to a common law theory of public nuisance, and shall not be limited to injunctive relief.  The Attorney General need not demonstrate that a defendant physically controls lead paint, or real property that contains lead paint, in order to prevail in a common law public nuisance claim based upon the sale or distribution of lead paint, nor demonstrate a special injury in order to recover damages or prevail in such an action.  </w:t>
      </w:r>
      <w:r>
        <w:rPr>
          <w:rFonts w:ascii="Albertus Extra Bold" w:hAnsi="Albertus Extra Bold"/>
          <w:b/>
          <w:vertAlign w:val="superscript"/>
        </w:rPr>
        <w:t>1</w:t>
      </w:r>
      <w:r>
        <w:rPr>
          <w:u w:val="single"/>
        </w:rPr>
        <w:t>Nothing in this section shall be construed to deny, abrogate, or impair any common law or statutory right, remedy, or prohibition otherwise available to the Attorney General in any action, including, but not limited to, public nuisance claims.</w:t>
      </w:r>
      <w:r w:rsidRPr="00543B38">
        <w:rPr>
          <w:rFonts w:ascii="Albertus Extra Bold" w:hAnsi="Albertus Extra Bold"/>
          <w:b/>
          <w:vertAlign w:val="superscript"/>
        </w:rPr>
        <w:t>1</w:t>
      </w:r>
    </w:p>
    <w:p w:rsidR="007C03B1" w:rsidRDefault="007C03B1" w:rsidP="007C03B1"/>
    <w:p w:rsidR="00E55E22" w:rsidRDefault="00E55E22" w:rsidP="00E55E22">
      <w:r>
        <w:tab/>
        <w:t>3.</w:t>
      </w:r>
      <w:r>
        <w:tab/>
        <w:t>Section 6 of P.L.1987, c.</w:t>
      </w:r>
      <w:r w:rsidRPr="00D52ABF">
        <w:t>197</w:t>
      </w:r>
      <w:r>
        <w:t xml:space="preserve"> (C.</w:t>
      </w:r>
      <w:r w:rsidRPr="00D52ABF">
        <w:t>2A:58C-6</w:t>
      </w:r>
      <w:r>
        <w:t>) is amended to read as follows:</w:t>
      </w:r>
    </w:p>
    <w:p w:rsidR="00E55E22" w:rsidRDefault="00E55E22" w:rsidP="00E55E22">
      <w:r>
        <w:tab/>
        <w:t xml:space="preserve">6.  </w:t>
      </w:r>
      <w:r w:rsidRPr="00D52ABF">
        <w:t>The provisions of this act shall not apply to</w:t>
      </w:r>
      <w:r>
        <w:t xml:space="preserve"> </w:t>
      </w:r>
      <w:r>
        <w:rPr>
          <w:u w:val="single"/>
        </w:rPr>
        <w:t>:</w:t>
      </w:r>
      <w:r w:rsidRPr="00D52ABF">
        <w:t xml:space="preserve"> </w:t>
      </w:r>
    </w:p>
    <w:p w:rsidR="00E55E22" w:rsidRPr="00FB1B33" w:rsidRDefault="00E55E22" w:rsidP="00E55E22">
      <w:pPr>
        <w:rPr>
          <w:u w:val="single"/>
        </w:rPr>
      </w:pPr>
      <w:r>
        <w:tab/>
      </w:r>
      <w:r>
        <w:rPr>
          <w:u w:val="single"/>
        </w:rPr>
        <w:t>a.</w:t>
      </w:r>
      <w:r>
        <w:t xml:space="preserve">  </w:t>
      </w:r>
      <w:r w:rsidRPr="00D52ABF">
        <w:t>any environmental tort action</w:t>
      </w:r>
      <w:r>
        <w:t xml:space="preserve"> </w:t>
      </w:r>
      <w:r>
        <w:rPr>
          <w:u w:val="single"/>
        </w:rPr>
        <w:t xml:space="preserve">; or </w:t>
      </w:r>
    </w:p>
    <w:p w:rsidR="00E55E22" w:rsidRDefault="00E55E22" w:rsidP="00E55E22">
      <w:r>
        <w:tab/>
      </w:r>
      <w:r>
        <w:rPr>
          <w:u w:val="single"/>
        </w:rPr>
        <w:t>b.  a public nuisance claim brought</w:t>
      </w:r>
      <w:r w:rsidRPr="00944C0E">
        <w:t xml:space="preserve"> </w:t>
      </w:r>
      <w:r w:rsidRPr="00944C0E">
        <w:rPr>
          <w:rFonts w:ascii="Albertus Extra Bold" w:hAnsi="Albertus Extra Bold"/>
          <w:b/>
          <w:vertAlign w:val="superscript"/>
        </w:rPr>
        <w:t>1</w:t>
      </w:r>
      <w:r w:rsidRPr="00944C0E">
        <w:rPr>
          <w:rFonts w:ascii="Albertus Extra Bold" w:hAnsi="Albertus Extra Bold"/>
          <w:b/>
        </w:rPr>
        <w:t>[</w:t>
      </w:r>
      <w:r>
        <w:rPr>
          <w:u w:val="single"/>
        </w:rPr>
        <w:t>pursuant to common law</w:t>
      </w:r>
      <w:r w:rsidRPr="00944C0E">
        <w:rPr>
          <w:rFonts w:ascii="Albertus Extra Bold" w:hAnsi="Albertus Extra Bold"/>
          <w:b/>
        </w:rPr>
        <w:t>]</w:t>
      </w:r>
      <w:r w:rsidRPr="00944C0E">
        <w:rPr>
          <w:rFonts w:ascii="Albertus Extra Bold" w:hAnsi="Albertus Extra Bold"/>
          <w:b/>
          <w:vertAlign w:val="superscript"/>
        </w:rPr>
        <w:t>1</w:t>
      </w:r>
      <w:r w:rsidRPr="00944C0E">
        <w:t xml:space="preserve"> </w:t>
      </w:r>
      <w:r>
        <w:rPr>
          <w:u w:val="single"/>
        </w:rPr>
        <w:t>by the Attorney General concerning lead paint</w:t>
      </w:r>
      <w:r w:rsidRPr="0002049F">
        <w:t xml:space="preserve"> </w:t>
      </w:r>
      <w:r>
        <w:rPr>
          <w:rFonts w:ascii="Albertus Extra Bold" w:hAnsi="Albertus Extra Bold"/>
          <w:b/>
          <w:vertAlign w:val="superscript"/>
        </w:rPr>
        <w:t>1</w:t>
      </w:r>
      <w:r>
        <w:rPr>
          <w:u w:val="single"/>
        </w:rPr>
        <w:t>or lead pigments used in residential paints or coatings.</w:t>
      </w:r>
    </w:p>
    <w:p w:rsidR="00E55E22" w:rsidRPr="00B21192" w:rsidRDefault="00E55E22" w:rsidP="00E55E22">
      <w:pPr>
        <w:rPr>
          <w:rFonts w:ascii="Albertus Extra Bold" w:hAnsi="Albertus Extra Bold"/>
          <w:b/>
          <w:vertAlign w:val="superscript"/>
        </w:rPr>
      </w:pPr>
      <w:r>
        <w:tab/>
      </w:r>
      <w:r w:rsidRPr="00377680">
        <w:rPr>
          <w:u w:val="single"/>
          <w:shd w:val="clear" w:color="auto" w:fill="FFFFFF" w:themeFill="background1"/>
        </w:rPr>
        <w:t xml:space="preserve">Nothing in this section shall be construed to deny, abrogate, or impair any common law or statutory right, remedy, or prohibition otherwise available to the Attorney General in any claims not </w:t>
      </w:r>
      <w:r w:rsidRPr="00377680">
        <w:rPr>
          <w:u w:val="single"/>
          <w:shd w:val="clear" w:color="auto" w:fill="FFFFFF" w:themeFill="background1"/>
        </w:rPr>
        <w:lastRenderedPageBreak/>
        <w:t>concerning lead paint, including, but not limited to, public nuisance claims</w:t>
      </w:r>
      <w:r w:rsidRPr="00377680">
        <w:rPr>
          <w:rFonts w:ascii="Albertus Extra Bold" w:hAnsi="Albertus Extra Bold"/>
          <w:b/>
          <w:shd w:val="clear" w:color="auto" w:fill="FFFFFF" w:themeFill="background1"/>
          <w:vertAlign w:val="superscript"/>
        </w:rPr>
        <w:t>1</w:t>
      </w:r>
      <w:r w:rsidRPr="00377680">
        <w:rPr>
          <w:shd w:val="clear" w:color="auto" w:fill="FFFFFF" w:themeFill="background1"/>
        </w:rPr>
        <w:t>.</w:t>
      </w:r>
    </w:p>
    <w:p w:rsidR="00E55E22" w:rsidRPr="00A65CA4" w:rsidRDefault="00E55E22" w:rsidP="00E55E22">
      <w:r w:rsidRPr="00A65CA4">
        <w:t>(cf:  P.L.1987, c.197, s.6)</w:t>
      </w:r>
    </w:p>
    <w:p w:rsidR="007C03B1" w:rsidRDefault="007C03B1" w:rsidP="007C03B1"/>
    <w:p w:rsidR="00C9293A" w:rsidRPr="00FB1B33" w:rsidRDefault="00C9293A" w:rsidP="00C9293A">
      <w:r>
        <w:tab/>
        <w:t>4.</w:t>
      </w:r>
      <w:r>
        <w:tab/>
        <w:t xml:space="preserve">This bill shall take effect immediately and shall apply to </w:t>
      </w:r>
      <w:r>
        <w:rPr>
          <w:rFonts w:ascii="Albertus Extra Bold" w:hAnsi="Albertus Extra Bold"/>
          <w:b/>
          <w:vertAlign w:val="superscript"/>
        </w:rPr>
        <w:t>1</w:t>
      </w:r>
      <w:r w:rsidRPr="00B21192">
        <w:rPr>
          <w:rFonts w:ascii="Albertus Extra Bold" w:hAnsi="Albertus Extra Bold"/>
          <w:b/>
        </w:rPr>
        <w:t>[</w:t>
      </w:r>
      <w:r>
        <w:t>causes of action</w:t>
      </w:r>
      <w:r w:rsidRPr="00B21192">
        <w:rPr>
          <w:rFonts w:ascii="Albertus Extra Bold" w:hAnsi="Albertus Extra Bold"/>
          <w:b/>
        </w:rPr>
        <w:t>]</w:t>
      </w:r>
      <w:r>
        <w:t xml:space="preserve"> </w:t>
      </w:r>
      <w:r>
        <w:rPr>
          <w:u w:val="single"/>
        </w:rPr>
        <w:t>all actions pending, including those on appeal, on the date of enactment and to any action</w:t>
      </w:r>
      <w:r w:rsidRPr="00B21192">
        <w:rPr>
          <w:rFonts w:ascii="Albertus Extra Bold" w:hAnsi="Albertus Extra Bold"/>
          <w:b/>
          <w:vertAlign w:val="superscript"/>
        </w:rPr>
        <w:t>1</w:t>
      </w:r>
      <w:r>
        <w:t xml:space="preserve"> filed on or after the date of enactment </w:t>
      </w:r>
      <w:r>
        <w:rPr>
          <w:rFonts w:ascii="Albertus Extra Bold" w:hAnsi="Albertus Extra Bold"/>
          <w:b/>
          <w:vertAlign w:val="superscript"/>
        </w:rPr>
        <w:t>1</w:t>
      </w:r>
      <w:r>
        <w:rPr>
          <w:u w:val="single"/>
        </w:rPr>
        <w:t>, except that judgments entered or awards made pursuant to law for which no appeal is pending on the date of enactment shall not be affected by the provisions of this act</w:t>
      </w:r>
      <w:r w:rsidRPr="00B21192">
        <w:rPr>
          <w:rFonts w:ascii="Albertus Extra Bold" w:hAnsi="Albertus Extra Bold"/>
          <w:b/>
          <w:vertAlign w:val="superscript"/>
        </w:rPr>
        <w:t>1</w:t>
      </w:r>
      <w:r>
        <w:t xml:space="preserve">.  </w:t>
      </w:r>
    </w:p>
    <w:sectPr w:rsidR="00C9293A" w:rsidRPr="00FB1B33" w:rsidSect="00A92732">
      <w:headerReference w:type="default" r:id="rId14"/>
      <w:footerReference w:type="default" r:id="rId15"/>
      <w:headerReference w:type="first" r:id="rId16"/>
      <w:footerReference w:type="first" r:id="rId17"/>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532E" w:rsidRDefault="0009532E">
      <w:r>
        <w:separator/>
      </w:r>
    </w:p>
  </w:endnote>
  <w:endnote w:type="continuationSeparator" w:id="0">
    <w:p w:rsidR="0009532E" w:rsidRDefault="00095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656D" w:rsidRDefault="009E656D" w:rsidP="009E656D">
    <w:pPr>
      <w:pStyle w:val="sponUdate"/>
    </w:pPr>
    <w:r>
      <w:t>(Sponsorship Updated As Of: 9/17/2020)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732" w:rsidRPr="00921C91" w:rsidRDefault="00A9273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92732" w:rsidRPr="00921C91" w:rsidRDefault="00A92732">
    <w:pPr>
      <w:pStyle w:val="Footer"/>
      <w:rPr>
        <w:szCs w:val="18"/>
      </w:rPr>
    </w:pPr>
  </w:p>
  <w:p w:rsidR="00E55E22" w:rsidRDefault="00A9273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55E22" w:rsidRDefault="00E55E22">
    <w:pPr>
      <w:pStyle w:val="Footer"/>
      <w:rPr>
        <w:szCs w:val="18"/>
      </w:rPr>
    </w:pPr>
    <w:r>
      <w:rPr>
        <w:szCs w:val="18"/>
      </w:rPr>
      <w:tab/>
      <w:t>Matter enclosed in superscript numerals has been adopted as follows:</w:t>
    </w:r>
  </w:p>
  <w:p w:rsidR="00E55E22" w:rsidRDefault="00E55E22">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SEN committee amendments adopted May 11, 2021.</w:t>
    </w:r>
  </w:p>
  <w:p w:rsidR="00E55E22" w:rsidRPr="00E55E22" w:rsidRDefault="00E55E22">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532E" w:rsidRDefault="0009532E">
      <w:r>
        <w:separator/>
      </w:r>
    </w:p>
  </w:footnote>
  <w:footnote w:type="continuationSeparator" w:id="0">
    <w:p w:rsidR="0009532E" w:rsidRDefault="000953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537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92732" w:rsidRDefault="00A92732" w:rsidP="00A92732">
    <w:pPr>
      <w:pStyle w:val="bpuHeadSpon"/>
    </w:pPr>
    <w:r w:rsidRPr="00A92732">
      <w:rPr>
        <w:rStyle w:val="bpuHeadSponChar"/>
      </w:rPr>
      <w:t>S697</w:t>
    </w:r>
    <w:r>
      <w:t xml:space="preserve"> </w:t>
    </w:r>
    <w:r w:rsidR="00E55E22">
      <w:t xml:space="preserve">[1R] </w:t>
    </w:r>
    <w:r>
      <w:t>RUIZ</w:t>
    </w:r>
    <w:r w:rsidR="009E656D">
      <w:t>, TURNER</w:t>
    </w:r>
  </w:p>
  <w:p w:rsidR="00A92732" w:rsidRDefault="00A92732" w:rsidP="00A92732">
    <w:pPr>
      <w:pStyle w:val="bpuHeadSpon"/>
    </w:pPr>
    <w:r>
      <w:fldChar w:fldCharType="begin"/>
    </w:r>
    <w:r>
      <w:instrText xml:space="preserve"> PAGE  \* MERGEFORMAT </w:instrText>
    </w:r>
    <w:r>
      <w:fldChar w:fldCharType="separate"/>
    </w:r>
    <w:r w:rsidR="00A537CA">
      <w:rPr>
        <w:noProof/>
      </w:rPr>
      <w:t>3</w:t>
    </w:r>
    <w:r>
      <w:fldChar w:fldCharType="end"/>
    </w:r>
  </w:p>
  <w:p w:rsidR="00A92732" w:rsidRPr="00AF575C" w:rsidRDefault="00A92732" w:rsidP="00A927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92732" w:rsidRDefault="00A92732" w:rsidP="00A92732">
    <w:pPr>
      <w:pStyle w:val="bpuHeadSpon"/>
    </w:pPr>
    <w:r w:rsidRPr="00A92732">
      <w:rPr>
        <w:rStyle w:val="bpuHeadSponChar"/>
      </w:rPr>
      <w:t>S697</w:t>
    </w:r>
    <w:r>
      <w:t xml:space="preserve"> </w:t>
    </w:r>
    <w:r w:rsidR="00E55E22">
      <w:t xml:space="preserve">[1R] </w:t>
    </w:r>
    <w:r>
      <w:t>RUIZ</w:t>
    </w:r>
    <w:r w:rsidR="009E656D">
      <w:t>, TURNER</w:t>
    </w:r>
  </w:p>
  <w:p w:rsidR="00A92732" w:rsidRDefault="00A92732" w:rsidP="00A92732">
    <w:pPr>
      <w:pStyle w:val="bpuHeadSpon"/>
    </w:pPr>
    <w:r>
      <w:fldChar w:fldCharType="begin"/>
    </w:r>
    <w:r>
      <w:instrText xml:space="preserve"> PAGE  \* MERGEFORMAT </w:instrText>
    </w:r>
    <w:r>
      <w:fldChar w:fldCharType="separate"/>
    </w:r>
    <w:r w:rsidR="00A537CA">
      <w:rPr>
        <w:noProof/>
      </w:rPr>
      <w:t>2</w:t>
    </w:r>
    <w:r>
      <w:fldChar w:fldCharType="end"/>
    </w:r>
  </w:p>
  <w:p w:rsidR="00A92732" w:rsidRDefault="00A92732" w:rsidP="00A927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32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32E"/>
    <w:rsid w:val="00095699"/>
    <w:rsid w:val="000A1E69"/>
    <w:rsid w:val="000A384F"/>
    <w:rsid w:val="000A3EB2"/>
    <w:rsid w:val="000A5654"/>
    <w:rsid w:val="000A6268"/>
    <w:rsid w:val="000A66D5"/>
    <w:rsid w:val="000A7D31"/>
    <w:rsid w:val="000B3B59"/>
    <w:rsid w:val="000B64A4"/>
    <w:rsid w:val="000B7277"/>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621"/>
    <w:rsid w:val="001E4DBB"/>
    <w:rsid w:val="001F6719"/>
    <w:rsid w:val="001F6DA6"/>
    <w:rsid w:val="00214614"/>
    <w:rsid w:val="0022067D"/>
    <w:rsid w:val="00231838"/>
    <w:rsid w:val="00232C5B"/>
    <w:rsid w:val="00234BA2"/>
    <w:rsid w:val="002373F3"/>
    <w:rsid w:val="002463CF"/>
    <w:rsid w:val="0026254F"/>
    <w:rsid w:val="00266FB9"/>
    <w:rsid w:val="00274341"/>
    <w:rsid w:val="0028159B"/>
    <w:rsid w:val="002827BD"/>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325"/>
    <w:rsid w:val="00346CF5"/>
    <w:rsid w:val="00352F8B"/>
    <w:rsid w:val="00354D07"/>
    <w:rsid w:val="0037458C"/>
    <w:rsid w:val="00381407"/>
    <w:rsid w:val="0038486B"/>
    <w:rsid w:val="003941E5"/>
    <w:rsid w:val="003A19B9"/>
    <w:rsid w:val="003A213D"/>
    <w:rsid w:val="003B7F50"/>
    <w:rsid w:val="003C32D1"/>
    <w:rsid w:val="003C6FBF"/>
    <w:rsid w:val="003D2267"/>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3380"/>
    <w:rsid w:val="00752616"/>
    <w:rsid w:val="0075577B"/>
    <w:rsid w:val="00757B3B"/>
    <w:rsid w:val="00762366"/>
    <w:rsid w:val="007676EB"/>
    <w:rsid w:val="0076794B"/>
    <w:rsid w:val="00771F97"/>
    <w:rsid w:val="00772A40"/>
    <w:rsid w:val="0077700A"/>
    <w:rsid w:val="0079623B"/>
    <w:rsid w:val="007A0026"/>
    <w:rsid w:val="007C03B1"/>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656D"/>
    <w:rsid w:val="009F2BAB"/>
    <w:rsid w:val="00A003CF"/>
    <w:rsid w:val="00A01CC5"/>
    <w:rsid w:val="00A04BAB"/>
    <w:rsid w:val="00A072DB"/>
    <w:rsid w:val="00A12C37"/>
    <w:rsid w:val="00A15F7D"/>
    <w:rsid w:val="00A16418"/>
    <w:rsid w:val="00A224BB"/>
    <w:rsid w:val="00A22502"/>
    <w:rsid w:val="00A40A31"/>
    <w:rsid w:val="00A469CC"/>
    <w:rsid w:val="00A537CA"/>
    <w:rsid w:val="00A55E7F"/>
    <w:rsid w:val="00A63229"/>
    <w:rsid w:val="00A64CED"/>
    <w:rsid w:val="00A7050B"/>
    <w:rsid w:val="00A721B4"/>
    <w:rsid w:val="00A72513"/>
    <w:rsid w:val="00A92732"/>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3A2B"/>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293A"/>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7926"/>
    <w:rsid w:val="00E33D7F"/>
    <w:rsid w:val="00E36703"/>
    <w:rsid w:val="00E44D94"/>
    <w:rsid w:val="00E500AD"/>
    <w:rsid w:val="00E53E99"/>
    <w:rsid w:val="00E55E22"/>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616D0D-86C6-415E-9071-1986E6856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92732"/>
  </w:style>
  <w:style w:type="paragraph" w:styleId="BalloonText">
    <w:name w:val="Balloon Text"/>
    <w:basedOn w:val="Normal"/>
    <w:link w:val="BalloonTextChar"/>
    <w:semiHidden/>
    <w:unhideWhenUsed/>
    <w:rsid w:val="003463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632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028718-C862-4CD4-BF6A-DD45517F9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537</Words>
  <Characters>2783</Characters>
  <Application>Microsoft Office Word</Application>
  <DocSecurity>0</DocSecurity>
  <Lines>82</Lines>
  <Paragraphs>25</Paragraphs>
  <ScaleCrop>false</ScaleCrop>
  <HeadingPairs>
    <vt:vector size="2" baseType="variant">
      <vt:variant>
        <vt:lpstr>Title</vt:lpstr>
      </vt:variant>
      <vt:variant>
        <vt:i4>1</vt:i4>
      </vt:variant>
    </vt:vector>
  </HeadingPairs>
  <TitlesOfParts>
    <vt:vector size="1" baseType="lpstr">
      <vt:lpstr>S697 1R</vt:lpstr>
    </vt:vector>
  </TitlesOfParts>
  <Manager>R225</Manager>
  <Company>OFFICE of LEGISLATIVE SERVICES</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S697 1R</dc:title>
  <dc:creator>Senator  RUIZ</dc:creator>
  <cp:keywords>S697|3|EA |300|300|300|!|0|</cp:keywords>
  <dc:description>PREFILED 2020</dc:description>
  <cp:lastModifiedBy>Siracusa, Nicole</cp:lastModifiedBy>
  <cp:revision>2</cp:revision>
  <cp:lastPrinted>2021-05-12T13:36:00Z</cp:lastPrinted>
  <dcterms:created xsi:type="dcterms:W3CDTF">2021-05-12T14:45:00Z</dcterms:created>
  <dcterms:modified xsi:type="dcterms:W3CDTF">2021-05-12T14:45:00Z</dcterms:modified>
  <cp:category>ss. 1-2: C.24:14A-13 et seq. to 2021/67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