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8EF" w:rsidRDefault="000C08EF" w:rsidP="000C08EF">
      <w:pPr>
        <w:pStyle w:val="bpuBill"/>
      </w:pPr>
      <w:bookmarkStart w:id="0" w:name="bpuFrontPg"/>
      <w:bookmarkEnd w:id="0"/>
      <w:r>
        <w:t xml:space="preserve">SENATE, No. 701 </w:t>
      </w:r>
    </w:p>
    <w:p w:rsidR="000C08EF" w:rsidRPr="000C08EF" w:rsidRDefault="000C08EF" w:rsidP="000C08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1914364" r:id="rId8"/>
        </w:object>
      </w:r>
    </w:p>
    <w:p w:rsidR="000C08EF" w:rsidRDefault="000C08EF" w:rsidP="000C08EF">
      <w:pPr>
        <w:pStyle w:val="bpuState"/>
      </w:pPr>
      <w:r>
        <w:t>STATE OF NEW JERSEY</w:t>
      </w:r>
    </w:p>
    <w:p w:rsidR="000C08EF" w:rsidRDefault="000C08EF" w:rsidP="000C08EF">
      <w:pPr>
        <w:pStyle w:val="bpuLegislature"/>
      </w:pPr>
      <w:r>
        <w:t>219th LEGISLATURE</w:t>
      </w:r>
    </w:p>
    <w:p w:rsidR="000C08EF" w:rsidRDefault="000C08EF" w:rsidP="000C08EF">
      <w:pPr>
        <w:pStyle w:val="bpuWpGraphic"/>
      </w:pPr>
      <w:r>
        <w:object w:dxaOrig="8985" w:dyaOrig="255">
          <v:shape id="_x0000_i1026" type="#_x0000_t75" style="width:6in;height:11.4pt" o:ole="">
            <v:imagedata r:id="rId7" o:title=""/>
          </v:shape>
          <o:OLEObject Type="Embed" ProgID="WPWin6.1" ShapeID="_x0000_i1026" DrawAspect="Content" ObjectID="_1641914365" r:id="rId9"/>
        </w:object>
      </w:r>
      <w:r>
        <w:t xml:space="preserve">  </w:t>
      </w:r>
    </w:p>
    <w:p w:rsidR="000C08EF" w:rsidRDefault="000C08EF" w:rsidP="000C08EF">
      <w:pPr>
        <w:pStyle w:val="bpuIntro"/>
      </w:pPr>
      <w:r>
        <w:t>PRE-FILED FOR INTRODUCTION IN THE 2020 SESSION</w:t>
      </w:r>
    </w:p>
    <w:p w:rsidR="000C08EF" w:rsidRDefault="000C08EF" w:rsidP="000C08EF">
      <w:pPr>
        <w:pStyle w:val="bpuIntro"/>
      </w:pPr>
    </w:p>
    <w:p w:rsidR="000C08EF" w:rsidRDefault="000C08EF" w:rsidP="000C08EF">
      <w:pPr>
        <w:pStyle w:val="bpuIntro"/>
        <w:sectPr w:rsidR="000C08EF" w:rsidSect="006B558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C08EF" w:rsidRDefault="000C08EF" w:rsidP="000C08EF">
      <w:pPr>
        <w:pStyle w:val="bpuIntro"/>
      </w:pPr>
    </w:p>
    <w:p w:rsidR="000C08EF" w:rsidRDefault="000C08EF" w:rsidP="000C08EF">
      <w:pPr>
        <w:pStyle w:val="bpuSponsor"/>
      </w:pPr>
      <w:r>
        <w:t>Sponsored by:</w:t>
      </w:r>
    </w:p>
    <w:p w:rsidR="000C08EF" w:rsidRDefault="000C08EF" w:rsidP="000C08EF">
      <w:pPr>
        <w:pStyle w:val="bpuSponsor"/>
      </w:pPr>
      <w:r>
        <w:t>Senator  M. TERESA RUIZ</w:t>
      </w:r>
    </w:p>
    <w:p w:rsidR="000C08EF" w:rsidRDefault="000C08EF" w:rsidP="000C08EF">
      <w:pPr>
        <w:pStyle w:val="bpuSponsor"/>
      </w:pPr>
      <w:r>
        <w:t>District 29 (Essex)</w:t>
      </w:r>
    </w:p>
    <w:p w:rsidR="000C08EF" w:rsidRDefault="006B558B" w:rsidP="006B558B">
      <w:pPr>
        <w:pStyle w:val="bpuSponsor"/>
      </w:pPr>
      <w:r>
        <w:t>Senator  JOSEPH P. CRYAN</w:t>
      </w:r>
    </w:p>
    <w:p w:rsidR="006B558B" w:rsidRDefault="006B558B" w:rsidP="006B558B">
      <w:pPr>
        <w:pStyle w:val="bpuSponsor"/>
      </w:pPr>
      <w:r>
        <w:t>District 20 (Union)</w:t>
      </w:r>
    </w:p>
    <w:p w:rsidR="006B558B" w:rsidRDefault="00727818" w:rsidP="00727818">
      <w:pPr>
        <w:pStyle w:val="bpuSponsor"/>
      </w:pPr>
      <w:r>
        <w:t>Senator  SANDRA B. CUNNINGHAM</w:t>
      </w:r>
    </w:p>
    <w:p w:rsidR="00727818" w:rsidRDefault="00727818" w:rsidP="00727818">
      <w:pPr>
        <w:pStyle w:val="bpuSponsor"/>
      </w:pPr>
      <w:r>
        <w:t>District 31 (Hudson)</w:t>
      </w:r>
    </w:p>
    <w:p w:rsidR="00727818" w:rsidRPr="00727818" w:rsidRDefault="00727818" w:rsidP="00727818">
      <w:pPr>
        <w:pStyle w:val="bpuSponsor"/>
      </w:pPr>
      <w:bookmarkStart w:id="1" w:name="_GoBack"/>
      <w:bookmarkEnd w:id="1"/>
    </w:p>
    <w:p w:rsidR="000C08EF" w:rsidRDefault="000C08EF" w:rsidP="000C08EF">
      <w:pPr>
        <w:pStyle w:val="bpuSponsor"/>
      </w:pPr>
    </w:p>
    <w:p w:rsidR="000C08EF" w:rsidRDefault="000C08EF" w:rsidP="000C08EF">
      <w:pPr>
        <w:pStyle w:val="bpuSponsor"/>
      </w:pPr>
    </w:p>
    <w:p w:rsidR="000C08EF" w:rsidRDefault="000C08EF" w:rsidP="000C08EF">
      <w:pPr>
        <w:pStyle w:val="bpuSponsor"/>
      </w:pPr>
    </w:p>
    <w:p w:rsidR="000C08EF" w:rsidRDefault="000C08EF" w:rsidP="000C08EF">
      <w:pPr>
        <w:pStyle w:val="bpuSponsor"/>
      </w:pPr>
      <w:r>
        <w:t>SYNOPSIS</w:t>
      </w:r>
    </w:p>
    <w:p w:rsidR="000C08EF" w:rsidRDefault="000C08EF" w:rsidP="000C08EF">
      <w:pPr>
        <w:pStyle w:val="bpuNormText"/>
      </w:pPr>
      <w:r>
        <w:tab/>
        <w:t xml:space="preserve">Establishes rebuttable presumption that person who commits domestic violence by strangling victim be detained prior to trial. </w:t>
      </w:r>
    </w:p>
    <w:p w:rsidR="000C08EF" w:rsidRDefault="000C08EF" w:rsidP="000C08EF">
      <w:pPr>
        <w:pStyle w:val="bpuNormText"/>
      </w:pPr>
    </w:p>
    <w:p w:rsidR="000C08EF" w:rsidRDefault="000C08EF" w:rsidP="000C08EF">
      <w:pPr>
        <w:pStyle w:val="bpuSponsor"/>
      </w:pPr>
      <w:r>
        <w:t xml:space="preserve">CURRENT VERSION OF TEXT </w:t>
      </w:r>
    </w:p>
    <w:p w:rsidR="000C08EF" w:rsidRDefault="000C08EF" w:rsidP="000C08EF">
      <w:pPr>
        <w:pStyle w:val="bpuNormText"/>
      </w:pPr>
      <w:r>
        <w:tab/>
        <w:t>Introduced Pending Technical Review by Legislative Counsel.</w:t>
      </w:r>
    </w:p>
    <w:p w:rsidR="000C08EF" w:rsidRDefault="000C08EF" w:rsidP="000C08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08EF" w:rsidRDefault="000C08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08EF" w:rsidSect="000C08EF">
          <w:type w:val="continuous"/>
          <w:pgSz w:w="12240" w:h="20160" w:code="5"/>
          <w:pgMar w:top="2160" w:right="2275" w:bottom="1440" w:left="2275" w:header="72" w:footer="720" w:gutter="0"/>
          <w:pgNumType w:start="1"/>
          <w:cols w:space="720"/>
          <w:docGrid w:linePitch="360"/>
        </w:sectPr>
      </w:pPr>
    </w:p>
    <w:p w:rsidR="00C85C1C" w:rsidRPr="00333331" w:rsidRDefault="00C85C1C" w:rsidP="00C85C1C">
      <w:pPr>
        <w:pStyle w:val="HangingAnAct"/>
      </w:pPr>
      <w:r w:rsidRPr="00C85C1C">
        <w:rPr>
          <w:rStyle w:val="BillHead"/>
        </w:rPr>
        <w:lastRenderedPageBreak/>
        <w:t>An Act</w:t>
      </w:r>
      <w:r w:rsidRPr="006B7FA7">
        <w:rPr>
          <w:rStyle w:val="HangingAnActChar"/>
        </w:rPr>
        <w:t xml:space="preserve"> </w:t>
      </w:r>
      <w:r>
        <w:rPr>
          <w:rStyle w:val="HangingAnActChar"/>
        </w:rPr>
        <w:t xml:space="preserve">concerning pretrial detention of certain offenders </w:t>
      </w:r>
      <w:r>
        <w:t>and amending P.L.2014, c.31.</w:t>
      </w:r>
    </w:p>
    <w:p w:rsidR="00C85C1C" w:rsidRPr="00D71D68" w:rsidRDefault="00C85C1C" w:rsidP="00C85C1C"/>
    <w:p w:rsidR="00C85C1C" w:rsidRDefault="00C85C1C" w:rsidP="00C85C1C">
      <w:pPr>
        <w:rPr>
          <w:rStyle w:val="BillLanguage"/>
        </w:rPr>
      </w:pPr>
      <w:r>
        <w:tab/>
      </w:r>
      <w:r>
        <w:rPr>
          <w:rStyle w:val="BillHeading2"/>
        </w:rPr>
        <w:t xml:space="preserve">Be It Enacted </w:t>
      </w:r>
      <w:r>
        <w:rPr>
          <w:rStyle w:val="BillLanguage"/>
        </w:rPr>
        <w:t>by the Senate and General Assembly of the State of New Jersey:</w:t>
      </w:r>
    </w:p>
    <w:p w:rsidR="00C85C1C" w:rsidRDefault="00C85C1C" w:rsidP="00C85C1C">
      <w:pPr>
        <w:rPr>
          <w:rStyle w:val="BillLanguage"/>
        </w:rPr>
      </w:pPr>
    </w:p>
    <w:p w:rsidR="00C85C1C" w:rsidRPr="00571090" w:rsidRDefault="00C85C1C" w:rsidP="00C85C1C">
      <w:pPr>
        <w:rPr>
          <w:rStyle w:val="BillLanguage"/>
          <w:i w:val="0"/>
          <w:szCs w:val="24"/>
        </w:rPr>
      </w:pPr>
      <w:r>
        <w:tab/>
        <w:t xml:space="preserve"> 1.</w:t>
      </w:r>
      <w:r>
        <w:tab/>
        <w:t xml:space="preserve">Section 4 of P.L.2014, c.31 (C.2A:162-18) is amended to read as follows:  </w:t>
      </w:r>
    </w:p>
    <w:p w:rsidR="00C85C1C" w:rsidRDefault="00C85C1C" w:rsidP="00C85C1C">
      <w:pPr>
        <w:tabs>
          <w:tab w:val="clear" w:pos="1440"/>
          <w:tab w:val="clear" w:pos="2160"/>
          <w:tab w:val="left" w:pos="1080"/>
          <w:tab w:val="left" w:pos="1620"/>
        </w:tabs>
      </w:pPr>
      <w:r>
        <w:tab/>
        <w:t xml:space="preserve"> 4.</w:t>
      </w:r>
      <w:r>
        <w:tab/>
        <w:t>a.</w:t>
      </w:r>
      <w:r>
        <w:tab/>
        <w:t>(1)</w:t>
      </w:r>
      <w:r>
        <w:tab/>
        <w:t>The court may order, before trial, the detention of an eligible defendant charged with any crime, or any offense involving domestic violence as defined in subsection a. of section 3 of P.L.1991, c.261 (C.2C:25-19), enumerated in subsection a. of section 5 of P.L.2014, c.31 (C.2A:162-19), if the prosecutor seeks the pretrial detention of the eligible defendant under section 5 of P.L.2014, c.31 (C.2A:162-19) and after a hearing pursuant to  that section the court finds clear and convincing evidence that no amount of monetary bail, 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The court may also order the pretrial detention of an eligible defendant when the prosecutor moves for a pretrial detention hearing and the eligible defendant fails to rebut a presumption of pretrial detention that may be established for the crimes enumerated under subsection b. of section 5 of P.L.2014, c.31 (C.2A:162-19).</w:t>
      </w:r>
    </w:p>
    <w:p w:rsidR="00C85C1C" w:rsidRDefault="00C85C1C" w:rsidP="00C85C1C">
      <w:r>
        <w:tab/>
        <w:t>(2)</w:t>
      </w:r>
      <w:r>
        <w:tab/>
        <w:t>For purposes of ordering the pretrial detention of an eligible defendant pursuant to this section and section 5 of P.L.2014, c.31 (C.2A:162-19) or pursuant to section 10 of P.L.2014, c.31 (C.2A:162-24), when determining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consider the amount of monetary bail only with respect to whether it will, by itself or in combination with non-monetary conditions, reasonably assure the eligible defendant's appearance in court when required.</w:t>
      </w:r>
    </w:p>
    <w:p w:rsidR="00C85C1C" w:rsidRDefault="00C85C1C" w:rsidP="00C85C1C">
      <w:r>
        <w:tab/>
        <w:t xml:space="preserve"> b.</w:t>
      </w:r>
      <w:r>
        <w:tab/>
        <w:t xml:space="preserve">Regarding the pretrial detention hearing moved for by the prosecutor, except for when an eligible defendant is charged with a crime set forth under paragraph (1) </w:t>
      </w:r>
      <w:r w:rsidRPr="00BB689E">
        <w:rPr>
          <w:rFonts w:ascii="Albertus Extra Bold" w:hAnsi="Albertus Extra Bold"/>
          <w:b/>
        </w:rPr>
        <w:t>[</w:t>
      </w:r>
      <w:r>
        <w:t>or</w:t>
      </w:r>
      <w:r w:rsidRPr="00BB689E">
        <w:rPr>
          <w:rFonts w:ascii="Albertus Extra Bold" w:hAnsi="Albertus Extra Bold"/>
          <w:b/>
        </w:rPr>
        <w:t>]</w:t>
      </w:r>
      <w:r w:rsidRPr="00984D02">
        <w:rPr>
          <w:u w:val="single"/>
        </w:rPr>
        <w:t>,</w:t>
      </w:r>
      <w:r w:rsidRPr="00D92E9A">
        <w:t xml:space="preserve">(2) </w:t>
      </w:r>
      <w:r>
        <w:rPr>
          <w:u w:val="single"/>
        </w:rPr>
        <w:t>,or (3)</w:t>
      </w:r>
      <w:r>
        <w:t xml:space="preserve"> of subsection b. of section 5 of P.L.2014, c.31 (C.2A:162-19), there shall be a rebuttable presumption that some amount of monetary bail, 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w:t>
      </w:r>
    </w:p>
    <w:p w:rsidR="00C85C1C" w:rsidRDefault="00C85C1C" w:rsidP="00C85C1C">
      <w:r>
        <w:tab/>
        <w:t xml:space="preserve"> c.</w:t>
      </w:r>
      <w:r>
        <w:tab/>
        <w:t>An eligible defendant may appeal an order of pretrial detention pursuant to the Rules of Court.  The appeal shall be heard in an expedited manner.  The eligible defendant shall be detained pending the disposition of the appeal.</w:t>
      </w:r>
    </w:p>
    <w:p w:rsidR="00C85C1C" w:rsidRDefault="00C85C1C" w:rsidP="00C85C1C">
      <w:r>
        <w:tab/>
        <w:t xml:space="preserve"> d.</w:t>
      </w:r>
      <w:r>
        <w:tab/>
        <w:t>If the court does not order the pretrial detention of an eligible defendant at the conclusion of the pretrial detention hearing under this section and section 5 of P.L.2014, c.31 (C.2A:162-19), the court shall order the release of the eligible defendant pursuant to section 3 of P.L.2014, c.31 (C.2A:162-17)</w:t>
      </w:r>
    </w:p>
    <w:p w:rsidR="00C85C1C" w:rsidRDefault="00C85C1C" w:rsidP="00C85C1C">
      <w:r>
        <w:t>(</w:t>
      </w:r>
      <w:proofErr w:type="spellStart"/>
      <w:r>
        <w:t>cf</w:t>
      </w:r>
      <w:proofErr w:type="spellEnd"/>
      <w:r>
        <w:t xml:space="preserve">: P.L.2014, c.31, s.4)  </w:t>
      </w:r>
    </w:p>
    <w:p w:rsidR="00C85C1C" w:rsidRDefault="00C85C1C" w:rsidP="00C85C1C"/>
    <w:p w:rsidR="00C85C1C" w:rsidRDefault="00C85C1C" w:rsidP="00C85C1C">
      <w:r>
        <w:tab/>
        <w:t xml:space="preserve"> 2.</w:t>
      </w:r>
      <w:r>
        <w:tab/>
        <w:t>Section 5 of P.L.2014, c.31 (C.</w:t>
      </w:r>
      <w:r w:rsidRPr="009C343B">
        <w:t>2A:162-19</w:t>
      </w:r>
      <w:r>
        <w:t xml:space="preserve">) is amended to read as follows:  </w:t>
      </w:r>
    </w:p>
    <w:p w:rsidR="00C85C1C" w:rsidRDefault="00C85C1C" w:rsidP="00C85C1C">
      <w:pPr>
        <w:tabs>
          <w:tab w:val="clear" w:pos="1440"/>
          <w:tab w:val="left" w:pos="1080"/>
        </w:tabs>
      </w:pPr>
      <w:r>
        <w:tab/>
        <w:t xml:space="preserve"> 5.</w:t>
      </w:r>
      <w:r>
        <w:tab/>
        <w:t>a.</w:t>
      </w:r>
      <w:r>
        <w:tab/>
        <w:t xml:space="preserve">A prosecutor may file a motion with the court at any time, including any time before or after an eligible defendant's release pursuant to section 3 of P.L.2014, c.31 (C.2A:162-17), seeking the pretrial detention of an eligible defendant for: </w:t>
      </w:r>
    </w:p>
    <w:p w:rsidR="00C85C1C" w:rsidRDefault="00C85C1C" w:rsidP="00C85C1C">
      <w:r>
        <w:tab/>
        <w:t>(1)</w:t>
      </w:r>
      <w:r>
        <w:tab/>
        <w:t xml:space="preserve">any crime of the first or second degree enumerated under subsection d. of section 2 of P.L.1997, c.117 (C.2C:43-7.2); </w:t>
      </w:r>
    </w:p>
    <w:p w:rsidR="00C85C1C" w:rsidRDefault="00C85C1C" w:rsidP="00C85C1C">
      <w:r>
        <w:tab/>
        <w:t>(2)</w:t>
      </w:r>
      <w:r>
        <w:tab/>
        <w:t xml:space="preserve">any crime for which the eligible defendant would be subject to an ordinary or extended term of life imprisonment; </w:t>
      </w:r>
    </w:p>
    <w:p w:rsidR="00C85C1C" w:rsidRDefault="00C85C1C" w:rsidP="00C85C1C">
      <w:r>
        <w:tab/>
        <w:t>(3)</w:t>
      </w:r>
      <w:r>
        <w:tab/>
        <w:t xml:space="preserve">any crime if the eligible defendant has been convicted of two or more offenses under paragraph (1) or (2) of this subsection;  </w:t>
      </w:r>
    </w:p>
    <w:p w:rsidR="00C85C1C" w:rsidRDefault="00C85C1C" w:rsidP="00C85C1C">
      <w:r>
        <w:tab/>
        <w:t>(4)</w:t>
      </w:r>
      <w:r>
        <w:tab/>
        <w:t xml:space="preserve">any crime enumerated under paragraph (2) of subsection b. of section 2 of P.L.1994, c.133 (C.2C:7-2) or crime involving human trafficking pursuant to section 1 of P.L.2005, c.77 (C.2C:13-8) or P.L.2013, c.51 (C.52:17B-237 et al.) when the victim is a minor, or the crime of endangering the welfare of a child under N.J.S.2C:24-4; </w:t>
      </w:r>
    </w:p>
    <w:p w:rsidR="00C85C1C" w:rsidRDefault="00C85C1C" w:rsidP="00C85C1C">
      <w:r>
        <w:tab/>
        <w:t>(5)</w:t>
      </w:r>
      <w:r>
        <w:tab/>
        <w:t xml:space="preserve">any crime enumerated under subsection c. of N.J.S.2C:43-6; </w:t>
      </w:r>
    </w:p>
    <w:p w:rsidR="00C85C1C" w:rsidRDefault="00C85C1C" w:rsidP="00C85C1C">
      <w:r>
        <w:tab/>
        <w:t>(6)</w:t>
      </w:r>
      <w:r>
        <w:tab/>
        <w:t>any crime or offense involving domestic violence as defined in subsection a. of section 3 of P.L.1991, c.261 (C.2C:25-19); or</w:t>
      </w:r>
    </w:p>
    <w:p w:rsidR="00C85C1C" w:rsidRDefault="00C85C1C" w:rsidP="00C85C1C">
      <w:r>
        <w:tab/>
        <w:t>(7)</w:t>
      </w:r>
      <w:r>
        <w:tab/>
        <w:t xml:space="preserve">any other crime for which the prosecutor believes there is a serious risk that: </w:t>
      </w:r>
    </w:p>
    <w:p w:rsidR="00C85C1C" w:rsidRDefault="00C85C1C" w:rsidP="00C85C1C">
      <w:r>
        <w:tab/>
        <w:t>(a)</w:t>
      </w:r>
      <w:r>
        <w:tab/>
        <w:t xml:space="preserve">the eligible defendant will not appear in court as required; </w:t>
      </w:r>
    </w:p>
    <w:p w:rsidR="00C85C1C" w:rsidRDefault="00C85C1C" w:rsidP="00C85C1C">
      <w:r>
        <w:tab/>
        <w:t>(b)</w:t>
      </w:r>
      <w:r>
        <w:tab/>
        <w:t xml:space="preserve">the eligible defendant will pose a danger to any other person or the community; or </w:t>
      </w:r>
    </w:p>
    <w:p w:rsidR="00C85C1C" w:rsidRDefault="00C85C1C" w:rsidP="00C85C1C">
      <w:r>
        <w:tab/>
        <w:t>(c)</w:t>
      </w:r>
      <w:r>
        <w:tab/>
        <w:t xml:space="preserve">the eligible defendant will obstruct or attempt to obstruct justice, or threaten, injure, or intimidate, or attempt to threaten, injure or intimidate, a prospective witness or juror.  </w:t>
      </w:r>
    </w:p>
    <w:p w:rsidR="00C85C1C" w:rsidRDefault="00C85C1C" w:rsidP="00C85C1C">
      <w:r>
        <w:tab/>
        <w:t xml:space="preserve"> b.</w:t>
      </w:r>
      <w:r>
        <w:tab/>
        <w:t xml:space="preserve">When a motion for pretrial detention is filed pursuant to subsection a. of this section, there shall be a rebuttable presumption 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r w:rsidRPr="00D53D53">
        <w:rPr>
          <w:u w:val="single"/>
        </w:rPr>
        <w:t>committed</w:t>
      </w:r>
      <w:r>
        <w:t xml:space="preserve">: </w:t>
      </w:r>
    </w:p>
    <w:p w:rsidR="00C85C1C" w:rsidRDefault="00C85C1C" w:rsidP="00C85C1C">
      <w:r>
        <w:tab/>
        <w:t>(1)</w:t>
      </w:r>
      <w:r>
        <w:tab/>
      </w:r>
      <w:r w:rsidRPr="00D53D53">
        <w:rPr>
          <w:rFonts w:ascii="Albertus Extra Bold" w:hAnsi="Albertus Extra Bold"/>
          <w:b/>
        </w:rPr>
        <w:t>[</w:t>
      </w:r>
      <w:r>
        <w:t>committed</w:t>
      </w:r>
      <w:r w:rsidRPr="00D53D53">
        <w:rPr>
          <w:rFonts w:ascii="Albertus Extra Bold" w:hAnsi="Albertus Extra Bold"/>
          <w:b/>
        </w:rPr>
        <w:t>]</w:t>
      </w:r>
      <w:r>
        <w:t xml:space="preserve"> murder pursuant to N.J.S.2C:11-3; </w:t>
      </w:r>
      <w:r w:rsidRPr="009C343B">
        <w:rPr>
          <w:rFonts w:ascii="Albertus Extra Bold" w:hAnsi="Albertus Extra Bold"/>
          <w:b/>
        </w:rPr>
        <w:t>[</w:t>
      </w:r>
      <w:r>
        <w:t>or</w:t>
      </w:r>
      <w:r w:rsidRPr="009C343B">
        <w:rPr>
          <w:rFonts w:ascii="Albertus Extra Bold" w:hAnsi="Albertus Extra Bold"/>
          <w:b/>
        </w:rPr>
        <w:t>]</w:t>
      </w:r>
      <w:r>
        <w:t xml:space="preserve"> </w:t>
      </w:r>
    </w:p>
    <w:p w:rsidR="00C85C1C" w:rsidRDefault="00C85C1C" w:rsidP="00C85C1C">
      <w:pPr>
        <w:rPr>
          <w:u w:val="single"/>
        </w:rPr>
      </w:pPr>
      <w:r>
        <w:tab/>
        <w:t>(2)</w:t>
      </w:r>
      <w:r>
        <w:tab/>
      </w:r>
      <w:r w:rsidRPr="00D53D53">
        <w:rPr>
          <w:rFonts w:ascii="Albertus Extra Bold" w:hAnsi="Albertus Extra Bold"/>
          <w:b/>
        </w:rPr>
        <w:t>[</w:t>
      </w:r>
      <w:r>
        <w:t>committed</w:t>
      </w:r>
      <w:r w:rsidRPr="00D53D53">
        <w:rPr>
          <w:rFonts w:ascii="Albertus Extra Bold" w:hAnsi="Albertus Extra Bold"/>
          <w:b/>
        </w:rPr>
        <w:t>]</w:t>
      </w:r>
      <w:r>
        <w:t xml:space="preserve"> </w:t>
      </w:r>
      <w:r w:rsidRPr="00222198">
        <w:t>any</w:t>
      </w:r>
      <w:r>
        <w:t xml:space="preserve"> crime for which the eligible defendant would be subject to an ordinary or extended term of life imprisonment </w:t>
      </w:r>
      <w:r w:rsidRPr="00D53D53">
        <w:rPr>
          <w:rFonts w:ascii="Albertus Extra Bold" w:hAnsi="Albertus Extra Bold"/>
          <w:b/>
        </w:rPr>
        <w:t>[</w:t>
      </w:r>
      <w:r>
        <w:t>.</w:t>
      </w:r>
      <w:r w:rsidRPr="00D53D53">
        <w:rPr>
          <w:rFonts w:ascii="Albertus Extra Bold" w:hAnsi="Albertus Extra Bold"/>
          <w:b/>
        </w:rPr>
        <w:t>]</w:t>
      </w:r>
      <w:r>
        <w:t xml:space="preserve"> </w:t>
      </w:r>
      <w:r w:rsidRPr="00D53D53">
        <w:rPr>
          <w:u w:val="single"/>
        </w:rPr>
        <w:t>; or</w:t>
      </w:r>
    </w:p>
    <w:p w:rsidR="00C85C1C" w:rsidRPr="00D53D53" w:rsidRDefault="00C85C1C" w:rsidP="00C85C1C">
      <w:pPr>
        <w:rPr>
          <w:u w:val="single"/>
        </w:rPr>
      </w:pPr>
      <w:r>
        <w:tab/>
      </w:r>
      <w:r>
        <w:rPr>
          <w:u w:val="single"/>
        </w:rPr>
        <w:t>(3)</w:t>
      </w:r>
      <w:r>
        <w:rPr>
          <w:u w:val="single"/>
        </w:rPr>
        <w:tab/>
        <w:t xml:space="preserve">aggravated assault against </w:t>
      </w:r>
      <w:r w:rsidRPr="00333331">
        <w:rPr>
          <w:u w:val="single"/>
        </w:rPr>
        <w:t>a victim of domestic violence</w:t>
      </w:r>
      <w:r>
        <w:rPr>
          <w:u w:val="single"/>
        </w:rPr>
        <w:t xml:space="preserve"> by recklessly obstructing</w:t>
      </w:r>
      <w:r w:rsidRPr="00333331">
        <w:rPr>
          <w:u w:val="single"/>
        </w:rPr>
        <w:t xml:space="preserve"> the breathing or blood circulation of </w:t>
      </w:r>
      <w:r>
        <w:rPr>
          <w:u w:val="single"/>
        </w:rPr>
        <w:t>the victim in violation of paragraph (13) of subsection b. of N.J.S.</w:t>
      </w:r>
      <w:r w:rsidRPr="00333331">
        <w:rPr>
          <w:u w:val="single"/>
        </w:rPr>
        <w:t>2C:12-1</w:t>
      </w:r>
      <w:r>
        <w:rPr>
          <w:u w:val="single"/>
        </w:rPr>
        <w:t>.</w:t>
      </w:r>
    </w:p>
    <w:p w:rsidR="00C85C1C" w:rsidRDefault="00C85C1C" w:rsidP="00C85C1C">
      <w:r>
        <w:tab/>
        <w:t xml:space="preserve"> c.</w:t>
      </w:r>
      <w:r>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C85C1C" w:rsidRDefault="00C85C1C" w:rsidP="00C85C1C">
      <w:pPr>
        <w:tabs>
          <w:tab w:val="clear" w:pos="1440"/>
          <w:tab w:val="left" w:pos="1170"/>
        </w:tabs>
      </w:pPr>
      <w:r>
        <w:tab/>
        <w:t xml:space="preserve"> d.</w:t>
      </w:r>
      <w:r>
        <w:tab/>
        <w:t>(1)</w:t>
      </w:r>
      <w:r>
        <w:tab/>
        <w:t xml:space="preserve">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C85C1C" w:rsidRDefault="00C85C1C" w:rsidP="00C85C1C">
      <w:r>
        <w:tab/>
        <w:t>(2)</w:t>
      </w:r>
      <w:r>
        <w:ta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court shall issue a notice to appear to compel the appearance of the eligible defendant at the detention hearing. The court, on motion of the prosecutor or </w:t>
      </w:r>
      <w:proofErr w:type="spellStart"/>
      <w:r>
        <w:t>sua</w:t>
      </w:r>
      <w:proofErr w:type="spellEnd"/>
      <w:r>
        <w:t xml:space="preserve"> </w:t>
      </w:r>
      <w:proofErr w:type="spellStart"/>
      <w:r>
        <w:t>sponte</w:t>
      </w:r>
      <w:proofErr w:type="spellEnd"/>
      <w:r>
        <w:t xml:space="preserve">, may order that, while in custody, an eligible defendant who appears to be a drug dependent person receive an assessment to determine whether that eligible defendant is drug dependent. </w:t>
      </w:r>
    </w:p>
    <w:p w:rsidR="00C85C1C" w:rsidRDefault="00C85C1C" w:rsidP="00C85C1C">
      <w:pPr>
        <w:tabs>
          <w:tab w:val="clear" w:pos="1440"/>
          <w:tab w:val="left" w:pos="1260"/>
        </w:tabs>
      </w:pPr>
      <w:r>
        <w:tab/>
        <w:t xml:space="preserve"> e.</w:t>
      </w:r>
      <w:r>
        <w:tab/>
        <w:t>(1)</w:t>
      </w:r>
      <w:r>
        <w:tab/>
        <w:t>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hearing, and to present information by proffer or otherwise. The rules concerning admissibility of evidence in criminal trials shall not apply to the presentation and consideration of information at the hearing.</w:t>
      </w:r>
    </w:p>
    <w:p w:rsidR="00C85C1C" w:rsidRDefault="00C85C1C" w:rsidP="00C85C1C">
      <w:r>
        <w:tab/>
        <w:t>(2)</w:t>
      </w:r>
      <w:r>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C85C1C" w:rsidRDefault="00C85C1C" w:rsidP="00C85C1C">
      <w:r>
        <w:tab/>
        <w:t>(3)</w:t>
      </w:r>
      <w:r>
        <w:tab/>
        <w:t>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w:t>
      </w:r>
    </w:p>
    <w:p w:rsidR="00C85C1C" w:rsidRDefault="00C85C1C" w:rsidP="00C85C1C">
      <w:r>
        <w:tab/>
        <w:t xml:space="preserve"> f.</w:t>
      </w:r>
      <w:r>
        <w:tab/>
        <w:t>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will not obstruct or attempt to obstruct the criminal justice process.</w:t>
      </w:r>
    </w:p>
    <w:p w:rsidR="00BB6814" w:rsidRDefault="00BB6814" w:rsidP="00BB6814">
      <w:r>
        <w:t>(</w:t>
      </w:r>
      <w:proofErr w:type="spellStart"/>
      <w:r>
        <w:t>cf</w:t>
      </w:r>
      <w:proofErr w:type="spellEnd"/>
      <w:r>
        <w:t xml:space="preserve">: P.L.2014, c.31, s.5) </w:t>
      </w:r>
      <w:r>
        <w:br w:type="page"/>
      </w:r>
    </w:p>
    <w:p w:rsidR="000C08EF" w:rsidRDefault="00C85C1C" w:rsidP="000C08EF">
      <w:r>
        <w:tab/>
        <w:t>3.</w:t>
      </w:r>
      <w:r>
        <w:tab/>
        <w:t>This act shall take effect immediately.</w:t>
      </w:r>
    </w:p>
    <w:p w:rsidR="00BB6814" w:rsidRDefault="00BB6814" w:rsidP="000C08EF"/>
    <w:p w:rsidR="00BB6814" w:rsidRDefault="00BB6814" w:rsidP="000C08EF"/>
    <w:p w:rsidR="00C85C1C" w:rsidRPr="00AA7880" w:rsidRDefault="00C85C1C" w:rsidP="00C85C1C">
      <w:pPr>
        <w:jc w:val="center"/>
      </w:pPr>
      <w:r w:rsidRPr="00D71D68">
        <w:t>STATEMENT</w:t>
      </w:r>
    </w:p>
    <w:p w:rsidR="00C85C1C" w:rsidRDefault="00C85C1C" w:rsidP="00C85C1C"/>
    <w:p w:rsidR="00C85C1C" w:rsidRPr="00E67ACB" w:rsidRDefault="00C85C1C" w:rsidP="00C85C1C">
      <w:pPr>
        <w:rPr>
          <w:spacing w:val="0"/>
        </w:rPr>
      </w:pPr>
      <w:r>
        <w:rPr>
          <w:spacing w:val="0"/>
        </w:rPr>
        <w:tab/>
        <w:t xml:space="preserve">This bill establishes a rebuttable presumption that a person who is charged with aggravated assault by strangling a victim of domestic violence is to be detained prior to trial.  </w:t>
      </w:r>
    </w:p>
    <w:p w:rsidR="00C85C1C" w:rsidRPr="007152F5" w:rsidRDefault="00C85C1C" w:rsidP="00C85C1C">
      <w:pPr>
        <w:rPr>
          <w:spacing w:val="0"/>
        </w:rPr>
      </w:pPr>
      <w:r w:rsidRPr="007152F5">
        <w:tab/>
        <w:t>Under P.L.2014, c.31, also known as the “Criminal Justice Reform Law,” criminal courts are authorized to order the pretrial release of a defendant pending further proceedings, or order pretrial detention of defendants who are found to be a flight risk, a danger to another or the community, or likely to obstruct further criminal proceedings.</w:t>
      </w:r>
      <w:r w:rsidRPr="007152F5">
        <w:rPr>
          <w:spacing w:val="0"/>
        </w:rPr>
        <w:t xml:space="preserve"> </w:t>
      </w:r>
    </w:p>
    <w:p w:rsidR="00C85C1C" w:rsidRDefault="00C85C1C" w:rsidP="00C85C1C">
      <w:r w:rsidRPr="007152F5">
        <w:rPr>
          <w:spacing w:val="0"/>
        </w:rPr>
        <w:tab/>
      </w:r>
      <w:r>
        <w:rPr>
          <w:spacing w:val="0"/>
        </w:rPr>
        <w:t>Current law also upgrades t</w:t>
      </w:r>
      <w:r w:rsidRPr="007152F5">
        <w:rPr>
          <w:spacing w:val="0"/>
        </w:rPr>
        <w:t xml:space="preserve">he crime of simple assault to aggravated assault </w:t>
      </w:r>
      <w:r w:rsidRPr="007152F5">
        <w:t xml:space="preserve">if the defendant knowingly or, under circumstances manifesting extreme indifference to the value of human life, recklessly obstructs the breathing or blood circulation of a person who, with respect to the actor, meets the definition of a victim of domestic violence, by applying pressure on the throat or neck or blocking the nose or mouth of </w:t>
      </w:r>
      <w:r w:rsidRPr="00384A14">
        <w:t>the</w:t>
      </w:r>
      <w:r w:rsidRPr="007152F5">
        <w:t xml:space="preserve"> person, thereby causing or attempting to cause bodily injury.</w:t>
      </w:r>
      <w:r w:rsidRPr="007152F5">
        <w:rPr>
          <w:spacing w:val="0"/>
        </w:rPr>
        <w:t xml:space="preserve"> </w:t>
      </w:r>
      <w:r w:rsidRPr="007152F5">
        <w:t xml:space="preserve">It is a crime of the third degree to commit aggravated assault against a victim of domestic violence. A crime of the third degree is punishable by a term of imprisonment of three to five years, a fine up to $15,000, or both.  The presumption of non-imprisonment generally applicable to third degree and fourth degree crimes committed by first-time offenders </w:t>
      </w:r>
      <w:r>
        <w:t>does</w:t>
      </w:r>
      <w:r w:rsidRPr="007152F5">
        <w:t xml:space="preserve"> not apply to person</w:t>
      </w:r>
      <w:r>
        <w:t>s</w:t>
      </w:r>
      <w:r w:rsidRPr="007152F5">
        <w:t xml:space="preserve"> who commit aggravated assault against a victim of domestic violence</w:t>
      </w:r>
      <w:r>
        <w:t xml:space="preserve">.  </w:t>
      </w:r>
    </w:p>
    <w:p w:rsidR="00C85C1C" w:rsidRDefault="00C85C1C" w:rsidP="00C85C1C">
      <w:pPr>
        <w:rPr>
          <w:spacing w:val="0"/>
        </w:rPr>
      </w:pPr>
      <w:r>
        <w:rPr>
          <w:spacing w:val="0"/>
        </w:rPr>
        <w:tab/>
        <w:t xml:space="preserve">Under this bill, if a court finds probable cause that a defendant </w:t>
      </w:r>
      <w:r w:rsidRPr="007152F5">
        <w:t>commit</w:t>
      </w:r>
      <w:r>
        <w:t>ted</w:t>
      </w:r>
      <w:r w:rsidRPr="007152F5">
        <w:t xml:space="preserve"> aggravated assault </w:t>
      </w:r>
      <w:r>
        <w:t xml:space="preserve">by strangling </w:t>
      </w:r>
      <w:r w:rsidRPr="007152F5">
        <w:t>a domestic violence</w:t>
      </w:r>
      <w:r>
        <w:rPr>
          <w:spacing w:val="0"/>
        </w:rPr>
        <w:t xml:space="preserve"> victim there would be a rebuttable </w:t>
      </w:r>
      <w:r w:rsidRPr="004C012E">
        <w:rPr>
          <w:spacing w:val="0"/>
        </w:rPr>
        <w:t xml:space="preserve">presumption that the person </w:t>
      </w:r>
      <w:r>
        <w:rPr>
          <w:spacing w:val="0"/>
        </w:rPr>
        <w:t xml:space="preserve">is to </w:t>
      </w:r>
      <w:r w:rsidRPr="004C012E">
        <w:rPr>
          <w:spacing w:val="0"/>
        </w:rPr>
        <w:t>be det</w:t>
      </w:r>
      <w:r>
        <w:rPr>
          <w:spacing w:val="0"/>
        </w:rPr>
        <w:t xml:space="preserve">ained pending trial because no </w:t>
      </w:r>
      <w:r w:rsidRPr="004C012E">
        <w:rPr>
          <w:spacing w:val="0"/>
        </w:rPr>
        <w:t>amount of monetary bail, non-mon</w:t>
      </w:r>
      <w:r>
        <w:rPr>
          <w:spacing w:val="0"/>
        </w:rPr>
        <w:t xml:space="preserve">etary conditions of release, or </w:t>
      </w:r>
      <w:r w:rsidRPr="004C012E">
        <w:rPr>
          <w:spacing w:val="0"/>
        </w:rPr>
        <w:t>combination thereof would reasonably</w:t>
      </w:r>
      <w:r>
        <w:rPr>
          <w:spacing w:val="0"/>
        </w:rPr>
        <w:t xml:space="preserve"> assure the defendant’s appearance in court, the safety of any other </w:t>
      </w:r>
      <w:r w:rsidRPr="004C012E">
        <w:rPr>
          <w:spacing w:val="0"/>
        </w:rPr>
        <w:t>person or the community</w:t>
      </w:r>
      <w:r>
        <w:rPr>
          <w:spacing w:val="0"/>
        </w:rPr>
        <w:t>, and that the defendant will not obstruct the criminal justice process</w:t>
      </w:r>
      <w:r w:rsidRPr="004C012E">
        <w:rPr>
          <w:spacing w:val="0"/>
        </w:rPr>
        <w:t>. This presu</w:t>
      </w:r>
      <w:r>
        <w:rPr>
          <w:spacing w:val="0"/>
        </w:rPr>
        <w:t xml:space="preserve">mption may be rebutted by the defendant </w:t>
      </w:r>
      <w:r w:rsidRPr="004C012E">
        <w:rPr>
          <w:spacing w:val="0"/>
        </w:rPr>
        <w:t>upon a showing of the preponderance of the evidence</w:t>
      </w:r>
      <w:r>
        <w:rPr>
          <w:spacing w:val="0"/>
        </w:rPr>
        <w:t xml:space="preserve"> in </w:t>
      </w:r>
      <w:r w:rsidRPr="004C012E">
        <w:rPr>
          <w:spacing w:val="0"/>
        </w:rPr>
        <w:t>support of the</w:t>
      </w:r>
      <w:r>
        <w:rPr>
          <w:spacing w:val="0"/>
        </w:rPr>
        <w:t xml:space="preserve"> defendant</w:t>
      </w:r>
      <w:r w:rsidRPr="004C012E">
        <w:rPr>
          <w:spacing w:val="0"/>
        </w:rPr>
        <w:t xml:space="preserve">. If the </w:t>
      </w:r>
      <w:r>
        <w:rPr>
          <w:spacing w:val="0"/>
        </w:rPr>
        <w:t xml:space="preserve">defendant is unable to rebut the presumption, the </w:t>
      </w:r>
      <w:r w:rsidRPr="004C012E">
        <w:rPr>
          <w:spacing w:val="0"/>
        </w:rPr>
        <w:t xml:space="preserve">court </w:t>
      </w:r>
      <w:r>
        <w:rPr>
          <w:spacing w:val="0"/>
        </w:rPr>
        <w:t xml:space="preserve">may </w:t>
      </w:r>
      <w:r w:rsidRPr="004C012E">
        <w:rPr>
          <w:spacing w:val="0"/>
        </w:rPr>
        <w:t xml:space="preserve">order pretrial detention, </w:t>
      </w:r>
      <w:r>
        <w:rPr>
          <w:spacing w:val="0"/>
        </w:rPr>
        <w:t xml:space="preserve">but if rebutted, the prosecutor </w:t>
      </w:r>
      <w:r w:rsidRPr="004C012E">
        <w:rPr>
          <w:spacing w:val="0"/>
        </w:rPr>
        <w:t>would still</w:t>
      </w:r>
      <w:r>
        <w:rPr>
          <w:spacing w:val="0"/>
        </w:rPr>
        <w:t xml:space="preserve"> </w:t>
      </w:r>
      <w:r w:rsidRPr="004C012E">
        <w:rPr>
          <w:spacing w:val="0"/>
        </w:rPr>
        <w:t xml:space="preserve">have the opportunity to </w:t>
      </w:r>
      <w:r>
        <w:rPr>
          <w:spacing w:val="0"/>
        </w:rPr>
        <w:t xml:space="preserve">establish grounds for pretrial </w:t>
      </w:r>
      <w:r w:rsidRPr="004C012E">
        <w:rPr>
          <w:spacing w:val="0"/>
        </w:rPr>
        <w:t>detention.</w:t>
      </w:r>
      <w:r>
        <w:rPr>
          <w:spacing w:val="0"/>
        </w:rPr>
        <w:t xml:space="preserve"> In addition, if the defendant is not detained prior to trial there would be a rebuttable presumption that a person charged with one of the enumerated crimes is prohibited from using the 10 percent</w:t>
      </w:r>
      <w:r w:rsidRPr="006D7176">
        <w:rPr>
          <w:spacing w:val="0"/>
        </w:rPr>
        <w:t xml:space="preserve"> cash option for posting bail.</w:t>
      </w:r>
    </w:p>
    <w:p w:rsidR="00C85C1C" w:rsidRPr="007152F5" w:rsidRDefault="00C85C1C" w:rsidP="00C85C1C">
      <w:r>
        <w:rPr>
          <w:spacing w:val="0"/>
        </w:rPr>
        <w:tab/>
        <w:t xml:space="preserve">A rebuttable presumption currently applies under </w:t>
      </w:r>
      <w:r>
        <w:t xml:space="preserve">P.L.2014, c.31 </w:t>
      </w:r>
      <w:r>
        <w:rPr>
          <w:spacing w:val="0"/>
        </w:rPr>
        <w:t xml:space="preserve">when a prosecutor makes a motion for the pretrial detention of a defendant charged with murder or </w:t>
      </w:r>
      <w:r>
        <w:t xml:space="preserve">any crime for which the defendant would be subject to an ordinary or extended term of life imprisonment. This bill extends that presumption to aggravated assault in situations where the defendant </w:t>
      </w:r>
      <w:r>
        <w:rPr>
          <w:spacing w:val="0"/>
        </w:rPr>
        <w:t>is charged with aggravated assault by strangling a victim of domestic violence</w:t>
      </w:r>
      <w:r w:rsidR="000C08EF">
        <w:rPr>
          <w:spacing w:val="0"/>
        </w:rPr>
        <w:t xml:space="preserve">. </w:t>
      </w:r>
    </w:p>
    <w:sectPr w:rsidR="00C85C1C" w:rsidRPr="007152F5" w:rsidSect="00BB6814">
      <w:headerReference w:type="default" r:id="rId14"/>
      <w:footerReference w:type="default" r:id="rId15"/>
      <w:headerReference w:type="first" r:id="rId16"/>
      <w:footerReference w:type="first" r:id="rId17"/>
      <w:pgSz w:w="12240" w:h="20160" w:code="5"/>
      <w:pgMar w:top="1440" w:right="2520" w:bottom="216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5E8" w:rsidRDefault="002E75E8">
      <w:r>
        <w:separator/>
      </w:r>
    </w:p>
  </w:endnote>
  <w:endnote w:type="continuationSeparator" w:id="0">
    <w:p w:rsidR="002E75E8" w:rsidRDefault="002E7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58B" w:rsidRDefault="006B558B" w:rsidP="006B558B">
    <w:pPr>
      <w:pStyle w:val="sponUdate"/>
    </w:pPr>
    <w:r>
      <w:t>(Sponsorship Updated As Of: 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814" w:rsidRDefault="00BB6814">
    <w:pPr>
      <w:pStyle w:val="Footer"/>
      <w:rPr>
        <w:szCs w:val="18"/>
      </w:rPr>
    </w:pPr>
  </w:p>
  <w:p w:rsidR="000C08EF" w:rsidRPr="00921C91" w:rsidRDefault="000C08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08EF" w:rsidRPr="00921C91" w:rsidRDefault="000C08EF">
    <w:pPr>
      <w:pStyle w:val="Footer"/>
      <w:rPr>
        <w:szCs w:val="18"/>
      </w:rPr>
    </w:pPr>
  </w:p>
  <w:p w:rsidR="000C08EF" w:rsidRPr="00921C91" w:rsidRDefault="000C08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5E8" w:rsidRDefault="002E75E8">
      <w:r>
        <w:separator/>
      </w:r>
    </w:p>
  </w:footnote>
  <w:footnote w:type="continuationSeparator" w:id="0">
    <w:p w:rsidR="002E75E8" w:rsidRDefault="002E7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37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558B" w:rsidRDefault="006B558B" w:rsidP="006B558B">
    <w:pPr>
      <w:pStyle w:val="bpuHeadSpon"/>
    </w:pPr>
    <w:r w:rsidRPr="000C08EF">
      <w:rPr>
        <w:rStyle w:val="bpuHeadSponChar"/>
      </w:rPr>
      <w:t>S701</w:t>
    </w:r>
    <w:r>
      <w:t xml:space="preserve"> RUIZ, CRYAN</w:t>
    </w:r>
  </w:p>
  <w:p w:rsidR="000C08EF" w:rsidRDefault="000C08EF" w:rsidP="000C08EF">
    <w:pPr>
      <w:pStyle w:val="bpuHeadSpon"/>
    </w:pPr>
    <w:r>
      <w:fldChar w:fldCharType="begin"/>
    </w:r>
    <w:r>
      <w:instrText xml:space="preserve"> PAGE  \* MERGEFORMAT </w:instrText>
    </w:r>
    <w:r>
      <w:fldChar w:fldCharType="separate"/>
    </w:r>
    <w:r w:rsidR="003A2C4B">
      <w:rPr>
        <w:noProof/>
      </w:rPr>
      <w:t>7</w:t>
    </w:r>
    <w:r>
      <w:fldChar w:fldCharType="end"/>
    </w:r>
  </w:p>
  <w:p w:rsidR="000C08EF" w:rsidRPr="00AF575C" w:rsidRDefault="000C08EF" w:rsidP="000C08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08EF" w:rsidRDefault="000C08EF" w:rsidP="000C08EF">
    <w:pPr>
      <w:pStyle w:val="bpuHeadSpon"/>
    </w:pPr>
    <w:r w:rsidRPr="000C08EF">
      <w:rPr>
        <w:rStyle w:val="bpuHeadSponChar"/>
      </w:rPr>
      <w:t>S701</w:t>
    </w:r>
    <w:r>
      <w:t xml:space="preserve"> RUIZ</w:t>
    </w:r>
    <w:r w:rsidR="006B558B">
      <w:t xml:space="preserve">, </w:t>
    </w:r>
    <w:r w:rsidR="006B558B">
      <w:t>CRYAN</w:t>
    </w:r>
  </w:p>
  <w:p w:rsidR="000C08EF" w:rsidRDefault="000C08EF" w:rsidP="000C08EF">
    <w:pPr>
      <w:pStyle w:val="bpuHeadSpon"/>
    </w:pPr>
    <w:r>
      <w:fldChar w:fldCharType="begin"/>
    </w:r>
    <w:r>
      <w:instrText xml:space="preserve"> PAGE  \* MERGEFORMAT </w:instrText>
    </w:r>
    <w:r>
      <w:fldChar w:fldCharType="separate"/>
    </w:r>
    <w:r w:rsidR="003A2C4B">
      <w:rPr>
        <w:noProof/>
      </w:rPr>
      <w:t>2</w:t>
    </w:r>
    <w:r>
      <w:fldChar w:fldCharType="end"/>
    </w:r>
  </w:p>
  <w:p w:rsidR="000C08EF" w:rsidRDefault="000C08EF" w:rsidP="000C08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5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8E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5E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C4B"/>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58B"/>
    <w:rsid w:val="006C3B76"/>
    <w:rsid w:val="006C4542"/>
    <w:rsid w:val="006D65B4"/>
    <w:rsid w:val="006E36B4"/>
    <w:rsid w:val="006F4C44"/>
    <w:rsid w:val="006F652B"/>
    <w:rsid w:val="0070018A"/>
    <w:rsid w:val="00712CBE"/>
    <w:rsid w:val="00727818"/>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26B"/>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814"/>
    <w:rsid w:val="00BC4545"/>
    <w:rsid w:val="00BD79EC"/>
    <w:rsid w:val="00BE204A"/>
    <w:rsid w:val="00BE26FC"/>
    <w:rsid w:val="00BF23C7"/>
    <w:rsid w:val="00BF7456"/>
    <w:rsid w:val="00C035F3"/>
    <w:rsid w:val="00C078A1"/>
    <w:rsid w:val="00C3401C"/>
    <w:rsid w:val="00C473B8"/>
    <w:rsid w:val="00C603F9"/>
    <w:rsid w:val="00C614C5"/>
    <w:rsid w:val="00C75595"/>
    <w:rsid w:val="00C83317"/>
    <w:rsid w:val="00C85C1C"/>
    <w:rsid w:val="00C937A1"/>
    <w:rsid w:val="00C93F56"/>
    <w:rsid w:val="00CA763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00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6D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4B2EBB"/>
  <w15:docId w15:val="{AE26A5FC-8A9E-45D8-A887-1F7700FBB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C08EF"/>
  </w:style>
  <w:style w:type="paragraph" w:styleId="BalloonText">
    <w:name w:val="Balloon Text"/>
    <w:basedOn w:val="Normal"/>
    <w:link w:val="BalloonTextChar"/>
    <w:semiHidden/>
    <w:unhideWhenUsed/>
    <w:rsid w:val="00BB68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68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CC5E1-A56E-4B56-9F6F-D6C7AF33F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2265</Words>
  <Characters>12096</Characters>
  <Application>Microsoft Office Word</Application>
  <DocSecurity>0</DocSecurity>
  <Lines>264</Lines>
  <Paragraphs>55</Paragraphs>
  <ScaleCrop>false</ScaleCrop>
  <HeadingPairs>
    <vt:vector size="2" baseType="variant">
      <vt:variant>
        <vt:lpstr>Title</vt:lpstr>
      </vt:variant>
      <vt:variant>
        <vt:i4>1</vt:i4>
      </vt:variant>
    </vt:vector>
  </HeadingPairs>
  <TitlesOfParts>
    <vt:vector size="1" baseType="lpstr">
      <vt:lpstr>S701</vt:lpstr>
    </vt:vector>
  </TitlesOfParts>
  <Manager>R224</Manager>
  <Company>OFFICE of LEGISLATIVE SERVICES</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S701</dc:title>
  <dc:creator>Senator  RUIZ</dc:creator>
  <cp:keywords>S701|7|SG |76|0|0|!|0|</cp:keywords>
  <dc:description>PREFILED 2020</dc:description>
  <cp:lastModifiedBy>Puleo, Roseanne</cp:lastModifiedBy>
  <cp:revision>2</cp:revision>
  <cp:lastPrinted>2020-01-30T23:32:00Z</cp:lastPrinted>
  <dcterms:created xsi:type="dcterms:W3CDTF">2020-01-30T23:33:00Z</dcterms:created>
  <dcterms:modified xsi:type="dcterms:W3CDTF">2020-01-30T23:33:00Z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