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8EF" w:rsidRDefault="000C08EF" w:rsidP="000C08EF">
      <w:pPr>
        <w:pStyle w:val="bpuBill"/>
      </w:pPr>
      <w:bookmarkStart w:id="0" w:name="bpuFrontPg"/>
      <w:bookmarkStart w:id="1" w:name="_GoBack"/>
      <w:bookmarkEnd w:id="0"/>
      <w:bookmarkEnd w:id="1"/>
      <w:r>
        <w:t xml:space="preserve">SENATE, No. 701 </w:t>
      </w:r>
    </w:p>
    <w:p w:rsidR="000C08EF" w:rsidRPr="000C08EF" w:rsidRDefault="000C08EF" w:rsidP="000C08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43023867" r:id="rId8"/>
        </w:object>
      </w:r>
    </w:p>
    <w:p w:rsidR="000C08EF" w:rsidRDefault="000C08EF" w:rsidP="000C08EF">
      <w:pPr>
        <w:pStyle w:val="bpuState"/>
      </w:pPr>
      <w:r>
        <w:t>STATE OF NEW JERSEY</w:t>
      </w:r>
    </w:p>
    <w:p w:rsidR="000C08EF" w:rsidRDefault="000C08EF" w:rsidP="000C08EF">
      <w:pPr>
        <w:pStyle w:val="bpuLegislature"/>
      </w:pPr>
      <w:r>
        <w:t>219th LEGISLATURE</w:t>
      </w:r>
    </w:p>
    <w:p w:rsidR="000C08EF" w:rsidRDefault="000C08EF" w:rsidP="000C08EF">
      <w:pPr>
        <w:pStyle w:val="bpuWpGraphic"/>
      </w:pPr>
      <w:r>
        <w:object w:dxaOrig="8985" w:dyaOrig="255">
          <v:shape id="_x0000_i1026" type="#_x0000_t75" style="width:6in;height:11pt" o:ole="">
            <v:imagedata r:id="rId7" o:title=""/>
          </v:shape>
          <o:OLEObject Type="Embed" ProgID="WPWin6.1" ShapeID="_x0000_i1026" DrawAspect="Content" ObjectID="_1643023868" r:id="rId9"/>
        </w:object>
      </w:r>
      <w:r>
        <w:t xml:space="preserve">  </w:t>
      </w:r>
    </w:p>
    <w:p w:rsidR="000C08EF" w:rsidRDefault="000C08EF" w:rsidP="000C08EF">
      <w:pPr>
        <w:pStyle w:val="bpuIntro"/>
      </w:pPr>
      <w:r>
        <w:t>PRE-FILED FOR INTRODUCTION IN THE 2020 SESSION</w:t>
      </w:r>
    </w:p>
    <w:p w:rsidR="000C08EF" w:rsidRDefault="000C08EF" w:rsidP="000C08EF">
      <w:pPr>
        <w:pStyle w:val="bpuIntro"/>
      </w:pPr>
    </w:p>
    <w:p w:rsidR="000C08EF" w:rsidRDefault="000C08EF" w:rsidP="000C08EF">
      <w:pPr>
        <w:pStyle w:val="bpuIntro"/>
        <w:sectPr w:rsidR="000C08EF" w:rsidSect="00E009C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C08EF" w:rsidRDefault="000C08EF" w:rsidP="000C08EF">
      <w:pPr>
        <w:pStyle w:val="bpuIntro"/>
      </w:pPr>
    </w:p>
    <w:p w:rsidR="000C08EF" w:rsidRDefault="000C08EF" w:rsidP="000C08EF">
      <w:pPr>
        <w:pStyle w:val="bpuSponsor"/>
      </w:pPr>
      <w:r>
        <w:t>Sponsored by:</w:t>
      </w:r>
    </w:p>
    <w:p w:rsidR="000C08EF" w:rsidRDefault="000C08EF" w:rsidP="000C08EF">
      <w:pPr>
        <w:pStyle w:val="bpuSponsor"/>
      </w:pPr>
      <w:r>
        <w:t>Senator  M. TERESA RUIZ</w:t>
      </w:r>
    </w:p>
    <w:p w:rsidR="000C08EF" w:rsidRDefault="000C08EF" w:rsidP="000C08EF">
      <w:pPr>
        <w:pStyle w:val="bpuSponsor"/>
      </w:pPr>
      <w:r>
        <w:t>District 29 (Essex)</w:t>
      </w:r>
    </w:p>
    <w:p w:rsidR="000C08EF" w:rsidRDefault="006B558B" w:rsidP="006B558B">
      <w:pPr>
        <w:pStyle w:val="bpuSponsor"/>
      </w:pPr>
      <w:r>
        <w:t>Senator  JOSEPH P. CRYAN</w:t>
      </w:r>
    </w:p>
    <w:p w:rsidR="006B558B" w:rsidRDefault="006B558B" w:rsidP="006B558B">
      <w:pPr>
        <w:pStyle w:val="bpuSponsor"/>
      </w:pPr>
      <w:r>
        <w:t>District 20 (Union)</w:t>
      </w:r>
    </w:p>
    <w:p w:rsidR="006B558B" w:rsidRDefault="00727818" w:rsidP="00727818">
      <w:pPr>
        <w:pStyle w:val="bpuSponsor"/>
      </w:pPr>
      <w:r>
        <w:t>Senator  SANDRA B. CUNNINGHAM</w:t>
      </w:r>
    </w:p>
    <w:p w:rsidR="00727818" w:rsidRDefault="00727818" w:rsidP="00727818">
      <w:pPr>
        <w:pStyle w:val="bpuSponsor"/>
      </w:pPr>
      <w:r>
        <w:t>District 31 (Hudson)</w:t>
      </w:r>
    </w:p>
    <w:p w:rsidR="00727818" w:rsidRPr="00727818" w:rsidRDefault="00727818" w:rsidP="00727818">
      <w:pPr>
        <w:pStyle w:val="bpuSponsor"/>
      </w:pPr>
    </w:p>
    <w:p w:rsidR="000C08EF" w:rsidRDefault="00E009C1" w:rsidP="00E009C1">
      <w:pPr>
        <w:pStyle w:val="bpuSponsor"/>
      </w:pPr>
      <w:r>
        <w:t>Co-Sponsored by:</w:t>
      </w:r>
    </w:p>
    <w:p w:rsidR="00E009C1" w:rsidRDefault="00E009C1" w:rsidP="00E009C1">
      <w:pPr>
        <w:pStyle w:val="bpuSponsor"/>
      </w:pPr>
      <w:r w:rsidRPr="00E009C1">
        <w:t>Senator Scutari</w:t>
      </w:r>
    </w:p>
    <w:p w:rsidR="00E009C1" w:rsidRDefault="00E009C1" w:rsidP="00E009C1"/>
    <w:p w:rsidR="00E009C1" w:rsidRPr="00E009C1" w:rsidRDefault="00E009C1" w:rsidP="00E009C1"/>
    <w:p w:rsidR="000C08EF" w:rsidRDefault="000C08EF" w:rsidP="000C08EF">
      <w:pPr>
        <w:pStyle w:val="bpuSponsor"/>
      </w:pPr>
    </w:p>
    <w:p w:rsidR="000C08EF" w:rsidRDefault="000C08EF" w:rsidP="000C08EF">
      <w:pPr>
        <w:pStyle w:val="bpuSponsor"/>
      </w:pPr>
    </w:p>
    <w:p w:rsidR="000C08EF" w:rsidRDefault="000C08EF" w:rsidP="000C08EF">
      <w:pPr>
        <w:pStyle w:val="bpuSponsor"/>
      </w:pPr>
      <w:r>
        <w:t>SYNOPSIS</w:t>
      </w:r>
    </w:p>
    <w:p w:rsidR="000C08EF" w:rsidRDefault="000C08EF" w:rsidP="000C08EF">
      <w:pPr>
        <w:pStyle w:val="bpuNormText"/>
      </w:pPr>
      <w:r>
        <w:tab/>
        <w:t xml:space="preserve">Establishes rebuttable presumption that person who commits domestic violence by strangling victim be detained prior to trial. </w:t>
      </w:r>
    </w:p>
    <w:p w:rsidR="000C08EF" w:rsidRDefault="000C08EF" w:rsidP="000C08EF">
      <w:pPr>
        <w:pStyle w:val="bpuNormText"/>
      </w:pPr>
    </w:p>
    <w:p w:rsidR="000C08EF" w:rsidRDefault="000C08EF" w:rsidP="000C08EF">
      <w:pPr>
        <w:pStyle w:val="bpuSponsor"/>
      </w:pPr>
      <w:r>
        <w:t xml:space="preserve">CURRENT VERSION OF TEXT </w:t>
      </w:r>
    </w:p>
    <w:p w:rsidR="000C08EF" w:rsidRDefault="009F2E3C" w:rsidP="000C08EF">
      <w:pPr>
        <w:pStyle w:val="bpuNormText"/>
      </w:pPr>
      <w:r>
        <w:tab/>
        <w:t>As reported by the Senate Law and Public Safety Committee with technical review.</w:t>
      </w:r>
    </w:p>
    <w:p w:rsidR="000C08EF" w:rsidRDefault="000C08EF" w:rsidP="000C08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C08EF" w:rsidRDefault="000C08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08EF" w:rsidSect="000C08EF">
          <w:type w:val="continuous"/>
          <w:pgSz w:w="12240" w:h="20160" w:code="5"/>
          <w:pgMar w:top="2160" w:right="2275" w:bottom="1440" w:left="2275" w:header="72" w:footer="720" w:gutter="0"/>
          <w:pgNumType w:start="1"/>
          <w:cols w:space="720"/>
          <w:docGrid w:linePitch="360"/>
        </w:sectPr>
      </w:pPr>
    </w:p>
    <w:p w:rsidR="00C85C1C" w:rsidRPr="00333331" w:rsidRDefault="00C85C1C" w:rsidP="00C85C1C">
      <w:pPr>
        <w:pStyle w:val="HangingAnAct"/>
      </w:pPr>
      <w:r w:rsidRPr="00C85C1C">
        <w:rPr>
          <w:rStyle w:val="BillHead"/>
        </w:rPr>
        <w:lastRenderedPageBreak/>
        <w:t>An Act</w:t>
      </w:r>
      <w:r w:rsidRPr="006B7FA7">
        <w:rPr>
          <w:rStyle w:val="HangingAnActChar"/>
        </w:rPr>
        <w:t xml:space="preserve"> </w:t>
      </w:r>
      <w:r>
        <w:rPr>
          <w:rStyle w:val="HangingAnActChar"/>
        </w:rPr>
        <w:t xml:space="preserve">concerning pretrial detention of certain offenders </w:t>
      </w:r>
      <w:r>
        <w:t>and amending P.L.2014, c.31.</w:t>
      </w:r>
    </w:p>
    <w:p w:rsidR="00C85C1C" w:rsidRPr="00D71D68" w:rsidRDefault="00C85C1C" w:rsidP="00C85C1C"/>
    <w:p w:rsidR="00C85C1C" w:rsidRDefault="00C85C1C" w:rsidP="00C85C1C">
      <w:pPr>
        <w:rPr>
          <w:rStyle w:val="BillLanguage"/>
        </w:rPr>
      </w:pPr>
      <w:r>
        <w:tab/>
      </w:r>
      <w:r>
        <w:rPr>
          <w:rStyle w:val="BillHeading2"/>
        </w:rPr>
        <w:t xml:space="preserve">Be It Enacted </w:t>
      </w:r>
      <w:r>
        <w:rPr>
          <w:rStyle w:val="BillLanguage"/>
        </w:rPr>
        <w:t>by the Senate and General Assembly of the State of New Jersey:</w:t>
      </w:r>
    </w:p>
    <w:p w:rsidR="00C85C1C" w:rsidRDefault="00C85C1C" w:rsidP="00C85C1C">
      <w:pPr>
        <w:rPr>
          <w:rStyle w:val="BillLanguage"/>
        </w:rPr>
      </w:pPr>
    </w:p>
    <w:p w:rsidR="00C85C1C" w:rsidRPr="00571090" w:rsidRDefault="009F2E3C" w:rsidP="00C85C1C">
      <w:pPr>
        <w:rPr>
          <w:rStyle w:val="BillLanguage"/>
          <w:i w:val="0"/>
          <w:szCs w:val="24"/>
        </w:rPr>
      </w:pPr>
      <w:r>
        <w:tab/>
      </w:r>
      <w:r w:rsidR="00C85C1C">
        <w:t>1.</w:t>
      </w:r>
      <w:r w:rsidR="00C85C1C">
        <w:tab/>
        <w:t xml:space="preserve">Section 4 of P.L.2014, c.31 (C.2A:162-18) is amended to read as follows:  </w:t>
      </w:r>
    </w:p>
    <w:p w:rsidR="00C85C1C" w:rsidRDefault="009F2E3C" w:rsidP="00C85C1C">
      <w:pPr>
        <w:tabs>
          <w:tab w:val="clear" w:pos="1440"/>
          <w:tab w:val="clear" w:pos="2160"/>
          <w:tab w:val="left" w:pos="1080"/>
          <w:tab w:val="left" w:pos="1620"/>
        </w:tabs>
      </w:pPr>
      <w:r>
        <w:tab/>
      </w:r>
      <w:r w:rsidR="00C85C1C">
        <w:t>4.</w:t>
      </w:r>
      <w:r w:rsidR="00C85C1C">
        <w:tab/>
        <w:t>a.</w:t>
      </w:r>
      <w:r w:rsidR="00C85C1C">
        <w:tab/>
        <w:t>(1)</w:t>
      </w:r>
      <w:r w:rsidR="00C85C1C">
        <w:tab/>
        <w:t>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C85C1C" w:rsidRDefault="00C85C1C" w:rsidP="00C85C1C">
      <w:r>
        <w:tab/>
        <w:t>(2)</w:t>
      </w:r>
      <w:r>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C85C1C" w:rsidRDefault="009F2E3C" w:rsidP="00C85C1C">
      <w:r>
        <w:tab/>
      </w:r>
      <w:r w:rsidR="00C85C1C">
        <w:t>b.</w:t>
      </w:r>
      <w:r w:rsidR="00C85C1C">
        <w:tab/>
        <w:t xml:space="preserve">Regarding the pretrial detention hearing moved for by the prosecutor, except for when an eligible defendant is charged with a crime set forth under paragraph (1) </w:t>
      </w:r>
      <w:r w:rsidR="00C85C1C" w:rsidRPr="00BB689E">
        <w:rPr>
          <w:rFonts w:ascii="Albertus Extra Bold" w:hAnsi="Albertus Extra Bold"/>
          <w:b/>
        </w:rPr>
        <w:t>[</w:t>
      </w:r>
      <w:r w:rsidR="00C85C1C">
        <w:t>or</w:t>
      </w:r>
      <w:r w:rsidR="00C85C1C" w:rsidRPr="00BB689E">
        <w:rPr>
          <w:rFonts w:ascii="Albertus Extra Bold" w:hAnsi="Albertus Extra Bold"/>
          <w:b/>
        </w:rPr>
        <w:t>]</w:t>
      </w:r>
      <w:r w:rsidR="00C85C1C" w:rsidRPr="00984D02">
        <w:rPr>
          <w:u w:val="single"/>
        </w:rPr>
        <w:t>,</w:t>
      </w:r>
      <w:r w:rsidR="00C85C1C" w:rsidRPr="00D92E9A">
        <w:t xml:space="preserve">(2) </w:t>
      </w:r>
      <w:r w:rsidR="00C85C1C">
        <w:rPr>
          <w:u w:val="single"/>
        </w:rPr>
        <w:t>,or (3)</w:t>
      </w:r>
      <w:r w:rsidR="00C85C1C">
        <w:t xml:space="preserve"> of subsection b. of section 5 of P.L.2014, c.31 (C.2A:162-19), there shall be a rebuttable presumption that some amount of monetary bail, non-</w:t>
      </w:r>
      <w:r w:rsidR="00C85C1C">
        <w:lastRenderedPageBreak/>
        <w:t xml:space="preserve">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C85C1C" w:rsidRDefault="00C85C1C" w:rsidP="00C85C1C">
      <w:r>
        <w:tab/>
        <w:t xml:space="preserve"> c.</w:t>
      </w:r>
      <w:r>
        <w:tab/>
        <w:t>An eligible defendant may appeal an order of pretrial detention pursuant to the Rules of Court.  The appeal shall be heard in an expedited manner.  The eligible defendant shall be detained pending the disposition of the appeal.</w:t>
      </w:r>
    </w:p>
    <w:p w:rsidR="00C85C1C" w:rsidRDefault="00C85C1C" w:rsidP="00C85C1C">
      <w:r>
        <w:tab/>
        <w:t xml:space="preserve"> d.</w:t>
      </w:r>
      <w:r>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C85C1C" w:rsidRDefault="00C85C1C" w:rsidP="00C85C1C">
      <w:r>
        <w:t>(</w:t>
      </w:r>
      <w:proofErr w:type="spellStart"/>
      <w:r>
        <w:t>cf</w:t>
      </w:r>
      <w:proofErr w:type="spellEnd"/>
      <w:r>
        <w:t xml:space="preserve">: P.L.2014, c.31, s.4)  </w:t>
      </w:r>
    </w:p>
    <w:p w:rsidR="00C85C1C" w:rsidRDefault="00C85C1C" w:rsidP="00C85C1C"/>
    <w:p w:rsidR="00C85C1C" w:rsidRDefault="009F2E3C" w:rsidP="00C85C1C">
      <w:r>
        <w:tab/>
      </w:r>
      <w:r w:rsidR="00C85C1C">
        <w:t>2.</w:t>
      </w:r>
      <w:r w:rsidR="00C85C1C">
        <w:tab/>
        <w:t>Section 5 of P.L.2014, c.31 (C.</w:t>
      </w:r>
      <w:r w:rsidR="00C85C1C" w:rsidRPr="009C343B">
        <w:t>2A:162-19</w:t>
      </w:r>
      <w:r w:rsidR="00C85C1C">
        <w:t xml:space="preserve">) is amended to read as follows:  </w:t>
      </w:r>
    </w:p>
    <w:p w:rsidR="00C85C1C" w:rsidRDefault="009F2E3C" w:rsidP="00C85C1C">
      <w:pPr>
        <w:tabs>
          <w:tab w:val="clear" w:pos="1440"/>
          <w:tab w:val="left" w:pos="1080"/>
        </w:tabs>
      </w:pPr>
      <w:r>
        <w:tab/>
      </w:r>
      <w:r w:rsidR="00C85C1C">
        <w:t>5.</w:t>
      </w:r>
      <w:r w:rsidR="00C85C1C">
        <w:tab/>
        <w:t>a.</w:t>
      </w:r>
      <w:r w:rsidR="00C85C1C">
        <w:tab/>
        <w:t xml:space="preserve">A prosecutor may file a motion with the court at any time, including any time before or after an eligible defendant's release pursuant to section 3 of P.L.2014, c.31 (C.2A:162-17), seeking the pretrial detention of an eligible defendant for: </w:t>
      </w:r>
    </w:p>
    <w:p w:rsidR="00C85C1C" w:rsidRDefault="00C85C1C" w:rsidP="00C85C1C">
      <w:r>
        <w:tab/>
        <w:t>(1)</w:t>
      </w:r>
      <w:r>
        <w:tab/>
        <w:t xml:space="preserve">any crime of the first or second degree enumerated under subsection d. of section 2 of P.L.1997, c.117 (C.2C:43-7.2); </w:t>
      </w:r>
    </w:p>
    <w:p w:rsidR="00C85C1C" w:rsidRDefault="00C85C1C" w:rsidP="00C85C1C">
      <w:r>
        <w:tab/>
        <w:t>(2)</w:t>
      </w:r>
      <w:r>
        <w:tab/>
        <w:t xml:space="preserve">any crime for which the eligible defendant would be subject to an ordinary or extended term of life imprisonment; </w:t>
      </w:r>
    </w:p>
    <w:p w:rsidR="00C85C1C" w:rsidRDefault="00C85C1C" w:rsidP="00C85C1C">
      <w:r>
        <w:tab/>
        <w:t>(3)</w:t>
      </w:r>
      <w:r>
        <w:tab/>
        <w:t xml:space="preserve">any crime if the eligible defendant has been convicted of two or more offenses under paragraph (1) or (2) of this subsection;  </w:t>
      </w:r>
    </w:p>
    <w:p w:rsidR="00C85C1C" w:rsidRDefault="00C85C1C" w:rsidP="00C85C1C">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C85C1C" w:rsidRDefault="00C85C1C" w:rsidP="00C85C1C">
      <w:r>
        <w:tab/>
        <w:t>(5)</w:t>
      </w:r>
      <w:r>
        <w:tab/>
        <w:t xml:space="preserve">any crime enumerated under subsection c. of N.J.S.2C:43-6; </w:t>
      </w:r>
    </w:p>
    <w:p w:rsidR="00C85C1C" w:rsidRDefault="00C85C1C" w:rsidP="00C85C1C">
      <w:r>
        <w:tab/>
        <w:t>(6)</w:t>
      </w:r>
      <w:r>
        <w:tab/>
        <w:t>any crime or offense involving domestic violence as defined in subsection a. of section 3 of P.L.1991, c.261 (C.2C:25-19); or</w:t>
      </w:r>
    </w:p>
    <w:p w:rsidR="00C85C1C" w:rsidRDefault="00C85C1C" w:rsidP="00C85C1C">
      <w:r>
        <w:tab/>
        <w:t>(7)</w:t>
      </w:r>
      <w:r>
        <w:tab/>
        <w:t xml:space="preserve">any other crime for which the prosecutor believes there is a serious risk that: </w:t>
      </w:r>
    </w:p>
    <w:p w:rsidR="00C85C1C" w:rsidRDefault="00C85C1C" w:rsidP="00C85C1C">
      <w:r>
        <w:tab/>
        <w:t>(a)</w:t>
      </w:r>
      <w:r>
        <w:tab/>
        <w:t xml:space="preserve">the eligible defendant will not appear in court as required; </w:t>
      </w:r>
    </w:p>
    <w:p w:rsidR="00C85C1C" w:rsidRDefault="00C85C1C" w:rsidP="00C85C1C">
      <w:r>
        <w:tab/>
        <w:t>(b)</w:t>
      </w:r>
      <w:r>
        <w:tab/>
        <w:t xml:space="preserve">the eligible defendant will pose a danger to any other person or the community; or </w:t>
      </w:r>
    </w:p>
    <w:p w:rsidR="009F2E3C" w:rsidRDefault="00C85C1C" w:rsidP="009F2E3C">
      <w:r>
        <w:tab/>
        <w:t>(c)</w:t>
      </w:r>
      <w:r>
        <w:tab/>
        <w:t>the eligible defendant will obstruct or attempt to obstruct justice, or threaten, injure, or intimidate, or attempt to threaten, injure or intimidate, a</w:t>
      </w:r>
      <w:r w:rsidR="009F2E3C">
        <w:t xml:space="preserve"> prospective witness or juror.</w:t>
      </w:r>
      <w:r w:rsidR="009F2E3C">
        <w:br w:type="page"/>
      </w:r>
    </w:p>
    <w:p w:rsidR="00C85C1C" w:rsidRDefault="00C85C1C" w:rsidP="00C85C1C">
      <w:r>
        <w:lastRenderedPageBreak/>
        <w:tab/>
        <w:t xml:space="preserve"> 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r w:rsidRPr="00D53D53">
        <w:rPr>
          <w:u w:val="single"/>
        </w:rPr>
        <w:t>committed</w:t>
      </w:r>
      <w:r>
        <w:t xml:space="preserve">: </w:t>
      </w:r>
    </w:p>
    <w:p w:rsidR="00C85C1C" w:rsidRDefault="00C85C1C" w:rsidP="00C85C1C">
      <w:r>
        <w:tab/>
        <w:t>(1)</w:t>
      </w:r>
      <w:r>
        <w:tab/>
      </w:r>
      <w:r w:rsidRPr="00D53D53">
        <w:rPr>
          <w:rFonts w:ascii="Albertus Extra Bold" w:hAnsi="Albertus Extra Bold"/>
          <w:b/>
        </w:rPr>
        <w:t>[</w:t>
      </w:r>
      <w:r>
        <w:t>committed</w:t>
      </w:r>
      <w:r w:rsidRPr="00D53D53">
        <w:rPr>
          <w:rFonts w:ascii="Albertus Extra Bold" w:hAnsi="Albertus Extra Bold"/>
          <w:b/>
        </w:rPr>
        <w:t>]</w:t>
      </w:r>
      <w:r>
        <w:t xml:space="preserve">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C85C1C" w:rsidRDefault="00C85C1C" w:rsidP="00C85C1C">
      <w:pPr>
        <w:rPr>
          <w:u w:val="single"/>
        </w:rPr>
      </w:pPr>
      <w:r>
        <w:tab/>
        <w:t>(2)</w:t>
      </w:r>
      <w:r>
        <w:tab/>
      </w:r>
      <w:r w:rsidRPr="00D53D53">
        <w:rPr>
          <w:rFonts w:ascii="Albertus Extra Bold" w:hAnsi="Albertus Extra Bold"/>
          <w:b/>
        </w:rPr>
        <w:t>[</w:t>
      </w:r>
      <w:r>
        <w:t>committed</w:t>
      </w:r>
      <w:r w:rsidRPr="00D53D53">
        <w:rPr>
          <w:rFonts w:ascii="Albertus Extra Bold" w:hAnsi="Albertus Extra Bold"/>
          <w:b/>
        </w:rPr>
        <w:t>]</w:t>
      </w:r>
      <w:r>
        <w:t xml:space="preserve"> </w:t>
      </w:r>
      <w:r w:rsidRPr="00222198">
        <w:t>any</w:t>
      </w:r>
      <w:r>
        <w:t xml:space="preserve"> crime for which the eligible defendant would be subject to an ordinary or extended term of life imprisonment </w:t>
      </w:r>
      <w:r w:rsidRPr="00D53D53">
        <w:rPr>
          <w:rFonts w:ascii="Albertus Extra Bold" w:hAnsi="Albertus Extra Bold"/>
          <w:b/>
        </w:rPr>
        <w:t>[</w:t>
      </w:r>
      <w:r>
        <w:t>.</w:t>
      </w:r>
      <w:r w:rsidRPr="00D53D53">
        <w:rPr>
          <w:rFonts w:ascii="Albertus Extra Bold" w:hAnsi="Albertus Extra Bold"/>
          <w:b/>
        </w:rPr>
        <w:t>]</w:t>
      </w:r>
      <w:r>
        <w:t xml:space="preserve"> </w:t>
      </w:r>
      <w:r w:rsidRPr="00D53D53">
        <w:rPr>
          <w:u w:val="single"/>
        </w:rPr>
        <w:t>; or</w:t>
      </w:r>
    </w:p>
    <w:p w:rsidR="00C85C1C" w:rsidRPr="00D53D53" w:rsidRDefault="00C85C1C" w:rsidP="00C85C1C">
      <w:pPr>
        <w:rPr>
          <w:u w:val="single"/>
        </w:rPr>
      </w:pPr>
      <w:r>
        <w:tab/>
      </w:r>
      <w:r>
        <w:rPr>
          <w:u w:val="single"/>
        </w:rPr>
        <w:t>(3)</w:t>
      </w:r>
      <w:r>
        <w:rPr>
          <w:u w:val="single"/>
        </w:rPr>
        <w:tab/>
        <w:t xml:space="preserve">aggravated assault against </w:t>
      </w:r>
      <w:r w:rsidRPr="00333331">
        <w:rPr>
          <w:u w:val="single"/>
        </w:rPr>
        <w:t>a victim of domestic violence</w:t>
      </w:r>
      <w:r>
        <w:rPr>
          <w:u w:val="single"/>
        </w:rPr>
        <w:t xml:space="preserve"> by recklessly obstructing</w:t>
      </w:r>
      <w:r w:rsidRPr="00333331">
        <w:rPr>
          <w:u w:val="single"/>
        </w:rPr>
        <w:t xml:space="preserve"> the breathing or blood circulation of </w:t>
      </w:r>
      <w:r>
        <w:rPr>
          <w:u w:val="single"/>
        </w:rPr>
        <w:t>the victim in violation of paragraph (13) of subsection b. of N.J.S.</w:t>
      </w:r>
      <w:r w:rsidRPr="00333331">
        <w:rPr>
          <w:u w:val="single"/>
        </w:rPr>
        <w:t>2C:12-1</w:t>
      </w:r>
      <w:r>
        <w:rPr>
          <w:u w:val="single"/>
        </w:rPr>
        <w:t>.</w:t>
      </w:r>
    </w:p>
    <w:p w:rsidR="00C85C1C" w:rsidRDefault="009F2E3C" w:rsidP="00C85C1C">
      <w:r>
        <w:tab/>
      </w:r>
      <w:r w:rsidR="00C85C1C">
        <w:t>c.</w:t>
      </w:r>
      <w:r w:rsidR="00C85C1C">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C85C1C" w:rsidRDefault="009F2E3C" w:rsidP="00C85C1C">
      <w:pPr>
        <w:tabs>
          <w:tab w:val="clear" w:pos="1440"/>
          <w:tab w:val="left" w:pos="1170"/>
        </w:tabs>
      </w:pPr>
      <w:r>
        <w:tab/>
      </w:r>
      <w:r w:rsidR="00C85C1C">
        <w:t>d.</w:t>
      </w:r>
      <w:r w:rsidR="00C85C1C">
        <w:tab/>
        <w:t>(1)</w:t>
      </w:r>
      <w:r w:rsidR="00C85C1C">
        <w:tab/>
        <w:t xml:space="preserve">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9F2E3C" w:rsidRDefault="00C85C1C" w:rsidP="009F2E3C">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w:t>
      </w:r>
      <w:r w:rsidR="009F2E3C">
        <w:br w:type="page"/>
      </w:r>
    </w:p>
    <w:p w:rsidR="00C85C1C" w:rsidRDefault="00C85C1C" w:rsidP="00C85C1C">
      <w:r>
        <w:lastRenderedPageBreak/>
        <w:t xml:space="preserve">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C85C1C" w:rsidRDefault="009F2E3C" w:rsidP="00C85C1C">
      <w:pPr>
        <w:tabs>
          <w:tab w:val="clear" w:pos="1440"/>
          <w:tab w:val="left" w:pos="1260"/>
        </w:tabs>
      </w:pPr>
      <w:r>
        <w:tab/>
      </w:r>
      <w:r w:rsidR="00C85C1C">
        <w:t>e.</w:t>
      </w:r>
      <w:r w:rsidR="00C85C1C">
        <w:tab/>
        <w:t>(1)</w:t>
      </w:r>
      <w:r w:rsidR="00C85C1C">
        <w:tab/>
        <w:t>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w:t>
      </w:r>
    </w:p>
    <w:p w:rsidR="00C85C1C" w:rsidRDefault="00C85C1C" w:rsidP="00C85C1C">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C85C1C" w:rsidRDefault="00C85C1C" w:rsidP="00C85C1C">
      <w:r>
        <w:tab/>
        <w:t>(3)</w:t>
      </w:r>
      <w:r>
        <w:tab/>
        <w:t>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w:t>
      </w:r>
    </w:p>
    <w:p w:rsidR="009F2E3C" w:rsidRDefault="009F2E3C" w:rsidP="009F2E3C">
      <w:r>
        <w:tab/>
      </w:r>
      <w:r w:rsidR="00C85C1C">
        <w:t>f.</w:t>
      </w:r>
      <w:r w:rsidR="00C85C1C">
        <w:tab/>
        <w:t xml:space="preserve">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t>
      </w:r>
      <w:r>
        <w:br w:type="page"/>
      </w:r>
    </w:p>
    <w:p w:rsidR="00C85C1C" w:rsidRDefault="00C85C1C" w:rsidP="00C85C1C">
      <w:r>
        <w:lastRenderedPageBreak/>
        <w:t>will not obstruct or attempt to obstruct the criminal justice process.</w:t>
      </w:r>
    </w:p>
    <w:p w:rsidR="00BB6814" w:rsidRDefault="009F2E3C" w:rsidP="00BB6814">
      <w:r>
        <w:t>(</w:t>
      </w:r>
      <w:proofErr w:type="spellStart"/>
      <w:r>
        <w:t>cf</w:t>
      </w:r>
      <w:proofErr w:type="spellEnd"/>
      <w:r>
        <w:t>: P.L.2014, c.31, s.5)</w:t>
      </w:r>
    </w:p>
    <w:p w:rsidR="009F2E3C" w:rsidRDefault="009F2E3C" w:rsidP="00BB6814"/>
    <w:p w:rsidR="000C08EF" w:rsidRDefault="00C85C1C" w:rsidP="000C08EF">
      <w:r>
        <w:tab/>
        <w:t>3.</w:t>
      </w:r>
      <w:r>
        <w:tab/>
        <w:t>This act shall take effect immediately.</w:t>
      </w:r>
    </w:p>
    <w:sectPr w:rsidR="000C08EF" w:rsidSect="00BB6814">
      <w:headerReference w:type="default" r:id="rId14"/>
      <w:footerReference w:type="default" r:id="rId15"/>
      <w:headerReference w:type="first" r:id="rId16"/>
      <w:footerReference w:type="first" r:id="rId17"/>
      <w:pgSz w:w="12240" w:h="20160" w:code="5"/>
      <w:pgMar w:top="1440" w:right="2520" w:bottom="216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5E8" w:rsidRDefault="002E75E8">
      <w:r>
        <w:separator/>
      </w:r>
    </w:p>
  </w:endnote>
  <w:endnote w:type="continuationSeparator" w:id="0">
    <w:p w:rsidR="002E75E8" w:rsidRDefault="002E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58B" w:rsidRDefault="00E009C1" w:rsidP="00E009C1">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14" w:rsidRDefault="00BB6814">
    <w:pPr>
      <w:pStyle w:val="Footer"/>
      <w:rPr>
        <w:szCs w:val="18"/>
      </w:rPr>
    </w:pPr>
  </w:p>
  <w:p w:rsidR="000C08EF" w:rsidRPr="00921C91" w:rsidRDefault="000C08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8EF" w:rsidRPr="00921C91" w:rsidRDefault="000C08EF">
    <w:pPr>
      <w:pStyle w:val="Footer"/>
      <w:rPr>
        <w:szCs w:val="18"/>
      </w:rPr>
    </w:pPr>
  </w:p>
  <w:p w:rsidR="000C08EF" w:rsidRPr="00921C91" w:rsidRDefault="000C08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5E8" w:rsidRDefault="002E75E8">
      <w:r>
        <w:separator/>
      </w:r>
    </w:p>
  </w:footnote>
  <w:footnote w:type="continuationSeparator" w:id="0">
    <w:p w:rsidR="002E75E8" w:rsidRDefault="002E7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5D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58B" w:rsidRDefault="006B558B" w:rsidP="006B558B">
    <w:pPr>
      <w:pStyle w:val="bpuHeadSpon"/>
    </w:pPr>
    <w:r w:rsidRPr="000C08EF">
      <w:rPr>
        <w:rStyle w:val="bpuHeadSponChar"/>
      </w:rPr>
      <w:t>S701</w:t>
    </w:r>
    <w:r>
      <w:t xml:space="preserve"> RUIZ, CRYAN</w:t>
    </w:r>
  </w:p>
  <w:p w:rsidR="000C08EF" w:rsidRDefault="000C08EF" w:rsidP="000C08EF">
    <w:pPr>
      <w:pStyle w:val="bpuHeadSpon"/>
    </w:pPr>
    <w:r>
      <w:fldChar w:fldCharType="begin"/>
    </w:r>
    <w:r>
      <w:instrText xml:space="preserve"> PAGE  \* MERGEFORMAT </w:instrText>
    </w:r>
    <w:r>
      <w:fldChar w:fldCharType="separate"/>
    </w:r>
    <w:r w:rsidR="0091240D">
      <w:rPr>
        <w:noProof/>
      </w:rPr>
      <w:t>6</w:t>
    </w:r>
    <w:r>
      <w:fldChar w:fldCharType="end"/>
    </w:r>
  </w:p>
  <w:p w:rsidR="000C08EF" w:rsidRPr="00AF575C" w:rsidRDefault="000C08EF" w:rsidP="000C08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08EF" w:rsidRDefault="000C08EF" w:rsidP="000C08EF">
    <w:pPr>
      <w:pStyle w:val="bpuHeadSpon"/>
    </w:pPr>
    <w:r w:rsidRPr="000C08EF">
      <w:rPr>
        <w:rStyle w:val="bpuHeadSponChar"/>
      </w:rPr>
      <w:t>S701</w:t>
    </w:r>
    <w:r>
      <w:t xml:space="preserve"> RUIZ</w:t>
    </w:r>
    <w:r w:rsidR="006B558B">
      <w:t>, CRYAN</w:t>
    </w:r>
  </w:p>
  <w:p w:rsidR="000C08EF" w:rsidRDefault="000C08EF" w:rsidP="000C08EF">
    <w:pPr>
      <w:pStyle w:val="bpuHeadSpon"/>
    </w:pPr>
    <w:r>
      <w:fldChar w:fldCharType="begin"/>
    </w:r>
    <w:r>
      <w:instrText xml:space="preserve"> PAGE  \* MERGEFORMAT </w:instrText>
    </w:r>
    <w:r>
      <w:fldChar w:fldCharType="separate"/>
    </w:r>
    <w:r w:rsidR="007C5DF5">
      <w:rPr>
        <w:noProof/>
      </w:rPr>
      <w:t>2</w:t>
    </w:r>
    <w:r>
      <w:fldChar w:fldCharType="end"/>
    </w:r>
  </w:p>
  <w:p w:rsidR="000C08EF" w:rsidRDefault="000C08EF" w:rsidP="000C08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8E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5E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C4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58B"/>
    <w:rsid w:val="006C3B76"/>
    <w:rsid w:val="006C4542"/>
    <w:rsid w:val="006D65B4"/>
    <w:rsid w:val="006E36B4"/>
    <w:rsid w:val="006F4C44"/>
    <w:rsid w:val="006F652B"/>
    <w:rsid w:val="0070018A"/>
    <w:rsid w:val="00712CBE"/>
    <w:rsid w:val="00727818"/>
    <w:rsid w:val="00730582"/>
    <w:rsid w:val="00741A09"/>
    <w:rsid w:val="00752616"/>
    <w:rsid w:val="0075577B"/>
    <w:rsid w:val="00757B3B"/>
    <w:rsid w:val="00762366"/>
    <w:rsid w:val="007676EB"/>
    <w:rsid w:val="0076794B"/>
    <w:rsid w:val="00771F97"/>
    <w:rsid w:val="00772A40"/>
    <w:rsid w:val="0077700A"/>
    <w:rsid w:val="0079623B"/>
    <w:rsid w:val="007A0026"/>
    <w:rsid w:val="007B7FAA"/>
    <w:rsid w:val="007C1354"/>
    <w:rsid w:val="007C5DF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26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40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2E3C"/>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814"/>
    <w:rsid w:val="00BC4545"/>
    <w:rsid w:val="00BD4772"/>
    <w:rsid w:val="00BD79EC"/>
    <w:rsid w:val="00BE204A"/>
    <w:rsid w:val="00BE26FC"/>
    <w:rsid w:val="00BF23C7"/>
    <w:rsid w:val="00BF7456"/>
    <w:rsid w:val="00C035F3"/>
    <w:rsid w:val="00C078A1"/>
    <w:rsid w:val="00C3401C"/>
    <w:rsid w:val="00C473B8"/>
    <w:rsid w:val="00C603F9"/>
    <w:rsid w:val="00C614C5"/>
    <w:rsid w:val="00C75595"/>
    <w:rsid w:val="00C83317"/>
    <w:rsid w:val="00C85C1C"/>
    <w:rsid w:val="00C937A1"/>
    <w:rsid w:val="00C93F56"/>
    <w:rsid w:val="00CA763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9C1"/>
    <w:rsid w:val="00E025E4"/>
    <w:rsid w:val="00E03582"/>
    <w:rsid w:val="00E05DFC"/>
    <w:rsid w:val="00E2600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6D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E1C59E"/>
  <w15:docId w15:val="{AE26A5FC-8A9E-45D8-A887-1F7700FB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08EF"/>
  </w:style>
  <w:style w:type="paragraph" w:styleId="BalloonText">
    <w:name w:val="Balloon Text"/>
    <w:basedOn w:val="Normal"/>
    <w:link w:val="BalloonTextChar"/>
    <w:semiHidden/>
    <w:unhideWhenUsed/>
    <w:rsid w:val="00BB68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8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172ED-0093-4E3A-842D-480CB593D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1801</Words>
  <Characters>9647</Characters>
  <Application>Microsoft Office Word</Application>
  <DocSecurity>0</DocSecurity>
  <Lines>218</Lines>
  <Paragraphs>53</Paragraphs>
  <ScaleCrop>false</ScaleCrop>
  <HeadingPairs>
    <vt:vector size="2" baseType="variant">
      <vt:variant>
        <vt:lpstr>Title</vt:lpstr>
      </vt:variant>
      <vt:variant>
        <vt:i4>1</vt:i4>
      </vt:variant>
    </vt:vector>
  </HeadingPairs>
  <TitlesOfParts>
    <vt:vector size="1" baseType="lpstr">
      <vt:lpstr>S701</vt:lpstr>
    </vt:vector>
  </TitlesOfParts>
  <Manager>R211</Manager>
  <Company>OFFICE of LEGISLATIVE SERVICES</Company>
  <LinksUpToDate>false</LinksUpToDate>
  <CharactersWithSpaces>11465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S701 TR</dc:title>
  <dc:creator>Senator  RUIZ</dc:creator>
  <cp:keywords>S701|6|LP |160|0|0|!|0|</cp:keywords>
  <dc:description>PREFILED 2020_x000d_
TR'D 1/30/20</dc:description>
  <cp:lastModifiedBy>Todaro, Vivian</cp:lastModifiedBy>
  <cp:revision>2</cp:revision>
  <cp:lastPrinted>2020-02-12T19:43:00Z</cp:lastPrinted>
  <dcterms:created xsi:type="dcterms:W3CDTF">2020-02-12T19:44:00Z</dcterms:created>
  <dcterms:modified xsi:type="dcterms:W3CDTF">2020-02-12T19:44:00Z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