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2C8" w:rsidRDefault="005A32C8" w:rsidP="005A32C8">
      <w:pPr>
        <w:pStyle w:val="bpuBill"/>
      </w:pPr>
      <w:bookmarkStart w:id="0" w:name="bpuFrontPg"/>
      <w:bookmarkStart w:id="1" w:name="_GoBack"/>
      <w:bookmarkEnd w:id="0"/>
      <w:bookmarkEnd w:id="1"/>
      <w:r>
        <w:t xml:space="preserve">SENATE, No. 708 </w:t>
      </w:r>
    </w:p>
    <w:p w:rsidR="005A32C8" w:rsidRPr="005A32C8" w:rsidRDefault="005A32C8" w:rsidP="005A3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195" r:id="rId8"/>
        </w:object>
      </w:r>
    </w:p>
    <w:p w:rsidR="005A32C8" w:rsidRDefault="005A32C8" w:rsidP="005A32C8">
      <w:pPr>
        <w:pStyle w:val="bpuState"/>
      </w:pPr>
      <w:r>
        <w:t>STATE OF NEW JERSEY</w:t>
      </w:r>
    </w:p>
    <w:p w:rsidR="005A32C8" w:rsidRDefault="005A32C8" w:rsidP="005A32C8">
      <w:pPr>
        <w:pStyle w:val="bpuLegislature"/>
      </w:pPr>
      <w:proofErr w:type="gramStart"/>
      <w:r>
        <w:t>219th</w:t>
      </w:r>
      <w:proofErr w:type="gramEnd"/>
      <w:r>
        <w:t xml:space="preserve"> LEGISLATURE</w:t>
      </w:r>
    </w:p>
    <w:p w:rsidR="005A32C8" w:rsidRDefault="005A32C8" w:rsidP="005A32C8">
      <w:pPr>
        <w:pStyle w:val="bpuWpGraphic"/>
      </w:pPr>
      <w:r>
        <w:object w:dxaOrig="8985" w:dyaOrig="255">
          <v:shape id="_x0000_i1026" type="#_x0000_t75" style="width:6in;height:11.8pt" o:ole="">
            <v:imagedata r:id="rId7" o:title=""/>
          </v:shape>
          <o:OLEObject Type="Embed" ProgID="WPWin6.1" ShapeID="_x0000_i1026" DrawAspect="Content" ObjectID="_1640103196" r:id="rId9"/>
        </w:object>
      </w:r>
      <w:r>
        <w:t xml:space="preserve">  </w:t>
      </w:r>
    </w:p>
    <w:p w:rsidR="005A32C8" w:rsidRDefault="005A32C8" w:rsidP="005A32C8">
      <w:pPr>
        <w:pStyle w:val="bpuIntro"/>
      </w:pPr>
      <w:r>
        <w:t>PRE-FILED FOR INTRODUCTION IN THE 2020 SESSION</w:t>
      </w:r>
    </w:p>
    <w:p w:rsidR="005A32C8" w:rsidRDefault="005A32C8" w:rsidP="005A32C8">
      <w:pPr>
        <w:pStyle w:val="bpuIntro"/>
      </w:pPr>
    </w:p>
    <w:p w:rsidR="005A32C8" w:rsidRDefault="005A32C8" w:rsidP="005A32C8">
      <w:pPr>
        <w:pStyle w:val="bpuIntro"/>
        <w:sectPr w:rsidR="005A32C8" w:rsidSect="005A32C8">
          <w:headerReference w:type="even" r:id="rId10"/>
          <w:headerReference w:type="default" r:id="rId11"/>
          <w:pgSz w:w="12240" w:h="20160" w:code="5"/>
          <w:pgMar w:top="2160" w:right="1440" w:bottom="1440" w:left="1440" w:header="720" w:footer="720" w:gutter="0"/>
          <w:pgNumType w:start="1"/>
          <w:cols w:space="720"/>
          <w:docGrid w:linePitch="360"/>
        </w:sectPr>
      </w:pPr>
    </w:p>
    <w:p w:rsidR="005A32C8" w:rsidRDefault="005A32C8" w:rsidP="005A32C8">
      <w:pPr>
        <w:pStyle w:val="bpuIntro"/>
      </w:pPr>
    </w:p>
    <w:p w:rsidR="005A32C8" w:rsidRDefault="005A32C8" w:rsidP="005A32C8">
      <w:pPr>
        <w:pStyle w:val="bpuSponsor"/>
      </w:pPr>
      <w:r>
        <w:t>Sponsored by:</w:t>
      </w:r>
    </w:p>
    <w:p w:rsidR="005A32C8" w:rsidRDefault="005A32C8" w:rsidP="005A32C8">
      <w:pPr>
        <w:pStyle w:val="bpuSponsor"/>
      </w:pPr>
      <w:proofErr w:type="gramStart"/>
      <w:r>
        <w:t>Senator  DAWN</w:t>
      </w:r>
      <w:proofErr w:type="gramEnd"/>
      <w:r>
        <w:t xml:space="preserve"> MARIE ADDIEGO</w:t>
      </w:r>
    </w:p>
    <w:p w:rsidR="005A32C8" w:rsidRDefault="005A32C8" w:rsidP="005A32C8">
      <w:pPr>
        <w:pStyle w:val="bpuSponsor"/>
      </w:pPr>
      <w:r>
        <w:t>District 8 (Atlantic, Burlington and Camden)</w:t>
      </w:r>
    </w:p>
    <w:p w:rsidR="005A32C8" w:rsidRDefault="005A32C8" w:rsidP="005A32C8">
      <w:pPr>
        <w:pStyle w:val="bpuSponsor"/>
      </w:pPr>
    </w:p>
    <w:p w:rsidR="005A32C8" w:rsidRDefault="005A32C8" w:rsidP="005A32C8">
      <w:pPr>
        <w:pStyle w:val="bpuSponsor"/>
      </w:pPr>
    </w:p>
    <w:p w:rsidR="005A32C8" w:rsidRDefault="005A32C8" w:rsidP="005A32C8">
      <w:pPr>
        <w:pStyle w:val="bpuSponsor"/>
      </w:pPr>
    </w:p>
    <w:p w:rsidR="005A32C8" w:rsidRDefault="005A32C8" w:rsidP="005A32C8">
      <w:pPr>
        <w:pStyle w:val="bpuSponsor"/>
      </w:pPr>
    </w:p>
    <w:p w:rsidR="005A32C8" w:rsidRDefault="005A32C8" w:rsidP="005A32C8">
      <w:pPr>
        <w:pStyle w:val="bpuSponsor"/>
      </w:pPr>
      <w:r>
        <w:t>SYNOPSIS</w:t>
      </w:r>
    </w:p>
    <w:p w:rsidR="005A32C8" w:rsidRDefault="005A32C8" w:rsidP="005A32C8">
      <w:pPr>
        <w:pStyle w:val="bpuNormText"/>
      </w:pPr>
      <w:r>
        <w:tab/>
        <w:t xml:space="preserve">Gives priority status for connection of solar photovoltaic systems for customer-generators who are public entities. </w:t>
      </w:r>
    </w:p>
    <w:p w:rsidR="005A32C8" w:rsidRDefault="005A32C8" w:rsidP="005A32C8">
      <w:pPr>
        <w:pStyle w:val="bpuNormText"/>
      </w:pPr>
    </w:p>
    <w:p w:rsidR="005A32C8" w:rsidRDefault="005A32C8" w:rsidP="005A32C8">
      <w:pPr>
        <w:pStyle w:val="bpuSponsor"/>
      </w:pPr>
      <w:r>
        <w:t xml:space="preserve">CURRENT VERSION OF TEXT </w:t>
      </w:r>
    </w:p>
    <w:p w:rsidR="005A32C8" w:rsidRDefault="005A32C8" w:rsidP="005A32C8">
      <w:pPr>
        <w:pStyle w:val="bpuNormText"/>
      </w:pPr>
      <w:r>
        <w:tab/>
        <w:t>Introduced Pending Technical Review by Legislative Counsel.</w:t>
      </w:r>
    </w:p>
    <w:p w:rsidR="005A32C8" w:rsidRDefault="005A32C8" w:rsidP="005A32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32C8" w:rsidRDefault="005A32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32C8" w:rsidSect="005A32C8">
          <w:type w:val="continuous"/>
          <w:pgSz w:w="12240" w:h="20160" w:code="5"/>
          <w:pgMar w:top="2160" w:right="2275" w:bottom="1440" w:left="2275" w:header="72" w:footer="720" w:gutter="0"/>
          <w:pgNumType w:start="1"/>
          <w:cols w:space="720"/>
          <w:docGrid w:linePitch="360"/>
        </w:sectPr>
      </w:pPr>
    </w:p>
    <w:p w:rsidR="00F40F15" w:rsidRPr="0014765A" w:rsidRDefault="00F40F15" w:rsidP="00F40F15">
      <w:pPr>
        <w:pStyle w:val="HangingAnAct"/>
        <w:rPr>
          <w:rStyle w:val="HangingAnActChar"/>
        </w:rPr>
      </w:pPr>
      <w:r w:rsidRPr="00F40F15">
        <w:rPr>
          <w:rStyle w:val="BillHead"/>
        </w:rPr>
        <w:lastRenderedPageBreak/>
        <w:t>An Act</w:t>
      </w:r>
      <w:r w:rsidRPr="006B7FA7">
        <w:rPr>
          <w:rStyle w:val="HangingAnActChar"/>
        </w:rPr>
        <w:t xml:space="preserve"> </w:t>
      </w:r>
      <w:r w:rsidRPr="0014765A">
        <w:rPr>
          <w:rStyle w:val="HangingAnActChar"/>
        </w:rPr>
        <w:t>concerning certain solar photovoltaic systems and amending P.L.1999, c.23.</w:t>
      </w:r>
    </w:p>
    <w:p w:rsidR="00F40F15" w:rsidRPr="00D71D68" w:rsidRDefault="00F40F15" w:rsidP="00F40F15"/>
    <w:p w:rsidR="00F40F15" w:rsidRPr="00AA7880" w:rsidRDefault="00F40F15" w:rsidP="00F40F1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40F15" w:rsidRPr="00D71D68" w:rsidRDefault="00F40F15" w:rsidP="00F40F15"/>
    <w:p w:rsidR="00F40F15" w:rsidRDefault="00F40F15" w:rsidP="00F40F15">
      <w:r>
        <w:tab/>
        <w:t>1.</w:t>
      </w:r>
      <w:r>
        <w:tab/>
        <w:t>Section 38 of P.L.1999, c.23 (C.48:3-87) is amended to read as follows:</w:t>
      </w:r>
    </w:p>
    <w:p w:rsidR="00F40F15" w:rsidRDefault="00F40F15" w:rsidP="00F40F15">
      <w:r>
        <w:tab/>
        <w:t>38.</w:t>
      </w:r>
      <w:r>
        <w:tab/>
        <w:t>a.</w:t>
      </w:r>
      <w:r w:rsidR="005A32C8">
        <w:t xml:space="preserve"> </w:t>
      </w:r>
      <w:r>
        <w:t xml:space="preserve">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F40F15" w:rsidRDefault="00F40F15" w:rsidP="00F40F15">
      <w:r>
        <w:tab/>
        <w:t>(1)</w:t>
      </w:r>
      <w:r>
        <w:tab/>
        <w:t>Its fuel mix, including categories for oil, gas, nuclear, coal, solar, hydroelectric, wind</w:t>
      </w:r>
      <w:r w:rsidRPr="00A96966">
        <w:rPr>
          <w:u w:val="single"/>
        </w:rPr>
        <w:t>,</w:t>
      </w:r>
      <w:r>
        <w:t xml:space="preserve"> and biomass, or a regional average determined by the board;</w:t>
      </w:r>
    </w:p>
    <w:p w:rsidR="00F40F15" w:rsidRDefault="00F40F15" w:rsidP="00F40F15">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rsidR="00F40F15" w:rsidRDefault="00F40F15" w:rsidP="00F40F15">
      <w:r>
        <w:tab/>
        <w:t>(3)</w:t>
      </w:r>
      <w:r>
        <w:tab/>
        <w:t>Any discrete emission reduction retired pursuant to rules and regulations adopted pursuant to P.L.1995, c.188.</w:t>
      </w:r>
    </w:p>
    <w:p w:rsidR="00F40F15" w:rsidRDefault="00F40F15" w:rsidP="00F40F15">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F40F15" w:rsidRDefault="00F40F15" w:rsidP="00F40F15">
      <w:r>
        <w:tab/>
        <w:t>(1)</w:t>
      </w:r>
      <w:r>
        <w:tab/>
        <w:t>A methodology for disclosure of emissions based on output pounds per megawatt hour;</w:t>
      </w:r>
    </w:p>
    <w:p w:rsidR="00F40F15" w:rsidRDefault="00F40F15" w:rsidP="00F40F15">
      <w:r>
        <w:tab/>
        <w:t>(2)</w:t>
      </w:r>
      <w:r>
        <w:tab/>
        <w:t>Benchmarks for all suppliers and basic generation service providers to use in disclosing emissions that will enable consumers to perform a meaningful comparison with a supplier's or basic generation service provider's emission levels; and</w:t>
      </w:r>
    </w:p>
    <w:p w:rsidR="00F40F15" w:rsidRDefault="00F40F15" w:rsidP="00F40F15">
      <w:r>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F40F15" w:rsidRDefault="00F40F15" w:rsidP="00F40F15">
      <w:r>
        <w:tab/>
        <w:t>Such standards shall be effective as regulations immediately upon filing with the Office of Administrative Law and shall be effective for a period not to exceed 18 months, and may, thereafter, be amended, adopted</w:t>
      </w:r>
      <w:r w:rsidRPr="004977AB">
        <w:rPr>
          <w:u w:val="single"/>
        </w:rPr>
        <w:t>,</w:t>
      </w:r>
      <w:r>
        <w:t xml:space="preserve"> or readopted by the board in accordance with the provisions of the "Administrative Procedure Act."</w:t>
      </w:r>
    </w:p>
    <w:p w:rsidR="00F40F15" w:rsidRDefault="00F40F15" w:rsidP="00F40F15">
      <w:r>
        <w:lastRenderedPageBreak/>
        <w:tab/>
        <w:t>c.</w:t>
      </w:r>
      <w:r>
        <w:tab/>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F40F15" w:rsidRDefault="00F40F15" w:rsidP="00F40F15">
      <w:r>
        <w:tab/>
        <w:t>(a)</w:t>
      </w:r>
      <w:r>
        <w:tab/>
        <w:t>The standard is necessary as part of a plan to enable the State to meet federal Clean Air Act or State ambient air quality standards; and</w:t>
      </w:r>
    </w:p>
    <w:p w:rsidR="00F40F15" w:rsidRDefault="00F40F15" w:rsidP="00F40F15">
      <w:r>
        <w:tab/>
        <w:t>(b)</w:t>
      </w:r>
      <w:r>
        <w:tab/>
        <w:t>Actions at the regional or federal level cannot reasonably be expected to achieve the compliance with the federal standards.</w:t>
      </w:r>
    </w:p>
    <w:p w:rsidR="00F40F15" w:rsidRDefault="00F40F15" w:rsidP="00F40F15">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F40F15" w:rsidRDefault="00F40F15" w:rsidP="00F40F15">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F40F15" w:rsidRDefault="00F40F15" w:rsidP="00F40F15">
      <w:r>
        <w:tab/>
        <w:t>(b)</w:t>
      </w:r>
      <w:r>
        <w:tab/>
        <w:t>Exempt the provision of basic generation service pursuant to a basic generation service purchase and sale agreement effective prior to the date of the regulation.</w:t>
      </w:r>
    </w:p>
    <w:p w:rsidR="00F40F15" w:rsidRDefault="00F40F15" w:rsidP="00F40F15">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F40F15" w:rsidRDefault="00F40F15" w:rsidP="00F40F15">
      <w:r>
        <w:tab/>
        <w:t>d.</w:t>
      </w:r>
      <w:r>
        <w:tab/>
        <w:t xml:space="preserve">Notwithstanding any provisions of the "Administrative Procedure Act," P.L.1968, c.410 (C.52:14B-1 et seq.) to the contrary, the board shall initiate a proceeding and shall adopt, after </w:t>
      </w:r>
      <w:r>
        <w:lastRenderedPageBreak/>
        <w:t>notice, provision of the opportunity for comment, and public hearing, renewable energy portfolio standards that shall require:</w:t>
      </w:r>
    </w:p>
    <w:p w:rsidR="00F40F15" w:rsidRDefault="00F40F15" w:rsidP="00F40F15">
      <w:r>
        <w:tab/>
        <w:t>(1)</w:t>
      </w:r>
      <w:r>
        <w:tab/>
        <w:t>that two and one-half percent of the kilowatt hours sold in this State by each electric power supplier and each basic generation service provider be from Class I or Class II renewable energy sources;</w:t>
      </w:r>
    </w:p>
    <w:p w:rsidR="00F40F15" w:rsidRDefault="00F40F15" w:rsidP="00F40F15">
      <w:r>
        <w:tab/>
        <w:t>(2)</w:t>
      </w:r>
      <w:r>
        <w:tab/>
        <w:t>beginning on January 1, 2001, that one-half of one percent of the kilowatt hours sold in this State by each electric power supplier and each basic generation service provider be from Class I renewable energy sources.  The board shall increase the required percentage for Class I renewable energy sources so that by January 1, 2006, one percent of the kilowatt hours sold in this State by each electric power supplier and each basic generation service provider shall be from Class I renewable energy sources and shall additionally increase the required percentage for Class I renewable energy sources by one-half of one percent each year until January 1, 2012, when four percent of the kilowatt hours sold in this State by each electric power supplier and each basic generation service provider shall be from Class I renewable energy sources.</w:t>
      </w:r>
    </w:p>
    <w:p w:rsidR="00F40F15" w:rsidRDefault="00F40F15" w:rsidP="00F40F15">
      <w:r>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F40F15" w:rsidRDefault="00F40F15" w:rsidP="00F40F15">
      <w:r>
        <w:tab/>
        <w:t>(3)</w:t>
      </w:r>
      <w:r>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2028, that requires the following number or percentage, as the case may be, of kilowatt-hours sold in this State by each electric power supplier and each basic generation service provider to be from solar electric power generators connected to the distribution system in this State:</w:t>
      </w:r>
    </w:p>
    <w:p w:rsidR="00F40F15" w:rsidRDefault="00F40F15" w:rsidP="00F40F15">
      <w:r>
        <w:tab/>
        <w:t>EY 2011</w:t>
      </w:r>
      <w:r>
        <w:tab/>
      </w:r>
      <w:r>
        <w:tab/>
        <w:t xml:space="preserve">306 </w:t>
      </w:r>
      <w:proofErr w:type="spellStart"/>
      <w:r>
        <w:t>Gigawatthours</w:t>
      </w:r>
      <w:proofErr w:type="spellEnd"/>
      <w:r>
        <w:t xml:space="preserve"> (</w:t>
      </w:r>
      <w:proofErr w:type="spellStart"/>
      <w:r>
        <w:t>Gwhrs</w:t>
      </w:r>
      <w:proofErr w:type="spellEnd"/>
      <w:r>
        <w:t>)</w:t>
      </w:r>
    </w:p>
    <w:p w:rsidR="00F40F15" w:rsidRDefault="00F40F15" w:rsidP="00F40F15">
      <w:r>
        <w:tab/>
        <w:t>EY 2012</w:t>
      </w:r>
      <w:r>
        <w:tab/>
      </w:r>
      <w:r>
        <w:tab/>
        <w:t xml:space="preserve">442 </w:t>
      </w:r>
      <w:proofErr w:type="spellStart"/>
      <w:r>
        <w:t>Gwhrs</w:t>
      </w:r>
      <w:proofErr w:type="spellEnd"/>
    </w:p>
    <w:p w:rsidR="00F40F15" w:rsidRDefault="00F40F15" w:rsidP="00F40F15">
      <w:r>
        <w:tab/>
        <w:t>EY 2013</w:t>
      </w:r>
      <w:r>
        <w:tab/>
      </w:r>
      <w:r>
        <w:tab/>
        <w:t xml:space="preserve">596 </w:t>
      </w:r>
      <w:proofErr w:type="spellStart"/>
      <w:r>
        <w:t>Gwhrs</w:t>
      </w:r>
      <w:proofErr w:type="spellEnd"/>
    </w:p>
    <w:p w:rsidR="00F40F15" w:rsidRDefault="00F40F15" w:rsidP="00F40F15">
      <w:r>
        <w:tab/>
        <w:t>EY 2014</w:t>
      </w:r>
      <w:r>
        <w:tab/>
      </w:r>
      <w:r>
        <w:tab/>
        <w:t>2.050%</w:t>
      </w:r>
    </w:p>
    <w:p w:rsidR="00F40F15" w:rsidRDefault="00F40F15" w:rsidP="00F40F15">
      <w:r>
        <w:tab/>
        <w:t>EY 2015</w:t>
      </w:r>
      <w:r>
        <w:tab/>
      </w:r>
      <w:r>
        <w:tab/>
        <w:t>2.450%</w:t>
      </w:r>
    </w:p>
    <w:p w:rsidR="00F40F15" w:rsidRDefault="00F40F15" w:rsidP="00F40F15">
      <w:r>
        <w:tab/>
        <w:t>EY 2016</w:t>
      </w:r>
      <w:r>
        <w:tab/>
      </w:r>
      <w:r>
        <w:tab/>
        <w:t>2.750%</w:t>
      </w:r>
    </w:p>
    <w:p w:rsidR="00F40F15" w:rsidRDefault="00F40F15" w:rsidP="00F40F15">
      <w:r>
        <w:tab/>
        <w:t>EY 2017</w:t>
      </w:r>
      <w:r>
        <w:tab/>
      </w:r>
      <w:r>
        <w:tab/>
        <w:t>3.000%</w:t>
      </w:r>
    </w:p>
    <w:p w:rsidR="00F40F15" w:rsidRDefault="00F40F15" w:rsidP="00F40F15">
      <w:r>
        <w:tab/>
        <w:t>EY 2018</w:t>
      </w:r>
      <w:r>
        <w:tab/>
      </w:r>
      <w:r>
        <w:tab/>
        <w:t>3.200%</w:t>
      </w:r>
    </w:p>
    <w:p w:rsidR="00F40F15" w:rsidRDefault="00F40F15" w:rsidP="00F40F15">
      <w:r>
        <w:tab/>
        <w:t>EY 2019</w:t>
      </w:r>
      <w:r>
        <w:tab/>
      </w:r>
      <w:r>
        <w:tab/>
        <w:t>3.290%</w:t>
      </w:r>
    </w:p>
    <w:p w:rsidR="00F40F15" w:rsidRDefault="00F40F15" w:rsidP="00F40F15">
      <w:r>
        <w:tab/>
        <w:t>EY 2020</w:t>
      </w:r>
      <w:r>
        <w:tab/>
      </w:r>
      <w:r>
        <w:tab/>
        <w:t>3.380%</w:t>
      </w:r>
    </w:p>
    <w:p w:rsidR="00F40F15" w:rsidRDefault="00F40F15" w:rsidP="00F40F15">
      <w:r>
        <w:tab/>
        <w:t>EY 2021</w:t>
      </w:r>
      <w:r>
        <w:tab/>
      </w:r>
      <w:r>
        <w:tab/>
        <w:t>3.470%</w:t>
      </w:r>
    </w:p>
    <w:p w:rsidR="00F40F15" w:rsidRDefault="00F40F15" w:rsidP="00F40F15">
      <w:r>
        <w:tab/>
        <w:t>EY 2022</w:t>
      </w:r>
      <w:r>
        <w:tab/>
      </w:r>
      <w:r>
        <w:tab/>
        <w:t>3.560%</w:t>
      </w:r>
    </w:p>
    <w:p w:rsidR="00F40F15" w:rsidRDefault="00F40F15" w:rsidP="00F40F15">
      <w:r>
        <w:tab/>
        <w:t>EY 2023</w:t>
      </w:r>
      <w:r>
        <w:tab/>
      </w:r>
      <w:r>
        <w:tab/>
        <w:t>3.650%</w:t>
      </w:r>
    </w:p>
    <w:p w:rsidR="00F40F15" w:rsidRDefault="00F40F15" w:rsidP="00F40F15">
      <w:r>
        <w:tab/>
        <w:t>EY 2024</w:t>
      </w:r>
      <w:r>
        <w:tab/>
      </w:r>
      <w:r>
        <w:tab/>
        <w:t>3.740%</w:t>
      </w:r>
    </w:p>
    <w:p w:rsidR="00F40F15" w:rsidRDefault="00F40F15" w:rsidP="00F40F15">
      <w:r>
        <w:tab/>
        <w:t>EY 2025</w:t>
      </w:r>
      <w:r>
        <w:tab/>
      </w:r>
      <w:r>
        <w:tab/>
        <w:t>3.830%</w:t>
      </w:r>
    </w:p>
    <w:p w:rsidR="00F40F15" w:rsidRDefault="00F40F15" w:rsidP="00F40F15">
      <w:r>
        <w:lastRenderedPageBreak/>
        <w:tab/>
        <w:t>EY 2026</w:t>
      </w:r>
      <w:r>
        <w:tab/>
      </w:r>
      <w:r>
        <w:tab/>
        <w:t>3.920%</w:t>
      </w:r>
    </w:p>
    <w:p w:rsidR="00F40F15" w:rsidRDefault="00F40F15" w:rsidP="00F40F15">
      <w:r>
        <w:tab/>
        <w:t>EY 2027</w:t>
      </w:r>
      <w:r>
        <w:tab/>
      </w:r>
      <w:r>
        <w:tab/>
        <w:t>4.010%</w:t>
      </w:r>
    </w:p>
    <w:p w:rsidR="00F40F15" w:rsidRDefault="00F40F15" w:rsidP="00F40F15">
      <w:r>
        <w:t>EY 2028 4.100%, and for every energy year thereafter, at least 4.100% per energy year to reflect an increasing number of kilowatt-hours to be purchased by suppliers or providers from solar electric power generators connected to the distribution system in this State, and to establish a framework within which, of the electricity that the generators sell in this State, suppliers and providers shall each obtain at least 3.470% in the energy year 2021 and 4.100% in the energy year 2028 from solar electric power generators connected to the distribution system in this State, provided, however, that:</w:t>
      </w:r>
    </w:p>
    <w:p w:rsidR="00F40F15" w:rsidRDefault="00F40F15" w:rsidP="00F40F15">
      <w:r>
        <w:tab/>
        <w:t>(a)</w:t>
      </w:r>
      <w:r>
        <w:tab/>
        <w:t>The board shall determine an appropriate period of no less than 120 days following the end of an energy year prior to which a provider or supplier must demonstrate compliance for that energy year with the annual renewable portfolio standard;</w:t>
      </w:r>
    </w:p>
    <w:p w:rsidR="00F40F15" w:rsidRDefault="00F40F15" w:rsidP="00F40F15">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F40F15" w:rsidRDefault="00F40F15" w:rsidP="00F40F15">
      <w:r>
        <w:tab/>
        <w:t>(c)</w:t>
      </w:r>
      <w:r>
        <w:tab/>
        <w:t>The solar renewable portfolio standards requirements in this paragraph shall exempt those existing supply contracts which are effective prior to the date of enactment of P.L.2012, c.24 from any increase beyond the number of SRECs mandated by the solar renewable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The board shall implement the provisions of this subsection in a manner so as to prevent any subsidies between suppliers and providers and to promote competition in the electricity supply industry.</w:t>
      </w:r>
    </w:p>
    <w:p w:rsidR="00F40F15" w:rsidRDefault="00F40F15" w:rsidP="00F40F15">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F40F15" w:rsidRDefault="00F40F15" w:rsidP="00F40F15">
      <w:r>
        <w:lastRenderedPageBreak/>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F40F15" w:rsidRDefault="00F40F15" w:rsidP="00F40F15">
      <w:r>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F40F15" w:rsidRDefault="00F40F15" w:rsidP="00F40F15">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1,100 megawatts of generation from qualified offshore wind projects.</w:t>
      </w:r>
    </w:p>
    <w:p w:rsidR="00F40F15" w:rsidRDefault="00F40F15" w:rsidP="00F40F15">
      <w:r>
        <w:tab/>
        <w:t>The percentage established by the board pursuant to this paragraph shall serve as an offset to the renewable energy portfolio standard established pursuant to paragraphs (1) and (2) of this subsection and shall reduce the corresponding Class I renewable energy requirement.</w:t>
      </w:r>
    </w:p>
    <w:p w:rsidR="00F40F15" w:rsidRDefault="00F40F15" w:rsidP="00F40F15">
      <w:r>
        <w:tab/>
        <w:t xml:space="preserve">The percentage established by the board pursuant to this paragraph shall reflect the projected OREC production of each qualified offshore wind project, approved by the board pursuant to section 3 of P.L.2010, c.57 (C.48:3-87.1), for </w:t>
      </w:r>
      <w:r w:rsidRPr="004977AB">
        <w:rPr>
          <w:rFonts w:ascii="Albertus Extra Bold" w:hAnsi="Albertus Extra Bold"/>
          <w:b/>
        </w:rPr>
        <w:t>[</w:t>
      </w:r>
      <w:r>
        <w:t>twenty</w:t>
      </w:r>
      <w:r w:rsidRPr="004977AB">
        <w:rPr>
          <w:rFonts w:ascii="Albertus Extra Bold" w:hAnsi="Albertus Extra Bold"/>
          <w:b/>
        </w:rPr>
        <w:t>]</w:t>
      </w:r>
      <w:r>
        <w:t xml:space="preserve"> </w:t>
      </w:r>
      <w:r w:rsidRPr="004977AB">
        <w:rPr>
          <w:u w:val="single"/>
        </w:rPr>
        <w:t>20</w:t>
      </w:r>
      <w:r>
        <w:t xml:space="preserve"> years from the commercial operation start date of the qualified offshore wind project which production projection and OREC purchase requirement, once approved by the board, shall not be subject to reduction.</w:t>
      </w:r>
    </w:p>
    <w:p w:rsidR="00F40F15" w:rsidRDefault="00F40F15" w:rsidP="00F40F15">
      <w:r>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F40F15" w:rsidRDefault="00F40F15" w:rsidP="00F40F15">
      <w:r>
        <w:tab/>
        <w:t xml:space="preserve">The rules established by the board pursuant to this paragraph shall be effective as regulations immediately upon filing with the Office of Administrative Law and shall be effective for a period not to exceed 18 months, and may, thereafter, be amended, adopted or </w:t>
      </w:r>
      <w:r>
        <w:lastRenderedPageBreak/>
        <w:t>readopted by the board in accordance with the provisions of the "Administrative Procedure Act," P.L.1968, c.410 (C.52:14B-1 et seq.).</w:t>
      </w:r>
    </w:p>
    <w:p w:rsidR="00F40F15" w:rsidRDefault="00F40F15" w:rsidP="00F40F15">
      <w:r>
        <w:tab/>
        <w:t>e.</w:t>
      </w:r>
      <w:r>
        <w:tab/>
        <w:t>Notwithstanding any provisions of the "Administrative Procedure Act," P.L.1968, c.410 (C.52:14B-1 et seq.) to the contrary, the board shall initiate a proceeding and shall adopt, after notice, provision of the opportunity for comment, and public hearing:</w:t>
      </w:r>
    </w:p>
    <w:p w:rsidR="00F40F15" w:rsidRDefault="00F40F15" w:rsidP="00F40F15">
      <w:r>
        <w:tab/>
        <w:t>(1)</w:t>
      </w:r>
      <w:r>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w:t>
      </w:r>
      <w:r w:rsidRPr="004977AB">
        <w:rPr>
          <w:u w:val="single"/>
        </w:rPr>
        <w:t>,</w:t>
      </w:r>
      <w:r>
        <w:t xml:space="preserve">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whenever the total rated generating capacity owned and operated by net metering customer-generators Statewide equals 2.5 percent of the State's peak electricity demand;</w:t>
      </w:r>
    </w:p>
    <w:p w:rsidR="00F40F15" w:rsidRDefault="00F40F15" w:rsidP="00F40F15">
      <w:r>
        <w:tab/>
        <w:t>(2)</w:t>
      </w:r>
      <w:r>
        <w:tab/>
        <w:t>safety and power quality interconnection standards for Class I renewable energy source systems used by a customer-generator that shall be eligible for net metering.</w:t>
      </w:r>
    </w:p>
    <w:p w:rsidR="00F40F15" w:rsidRDefault="00F40F15" w:rsidP="00F40F15">
      <w:r>
        <w:lastRenderedPageBreak/>
        <w:tab/>
      </w:r>
      <w:r w:rsidRPr="004977AB">
        <w:rPr>
          <w:rFonts w:ascii="Albertus Extra Bold" w:hAnsi="Albertus Extra Bold"/>
          <w:b/>
        </w:rPr>
        <w:t>[</w:t>
      </w:r>
      <w:r>
        <w:t>Such</w:t>
      </w:r>
      <w:r w:rsidRPr="004977AB">
        <w:rPr>
          <w:rFonts w:ascii="Albertus Extra Bold" w:hAnsi="Albertus Extra Bold"/>
          <w:b/>
        </w:rPr>
        <w:t>]</w:t>
      </w:r>
      <w:r>
        <w:t xml:space="preserve"> </w:t>
      </w:r>
      <w:r w:rsidRPr="004977AB">
        <w:rPr>
          <w:u w:val="single"/>
        </w:rPr>
        <w:t>The</w:t>
      </w:r>
      <w:r>
        <w:t xml:space="preserve"> standards or rules shall take into consideration the goals of the New Jersey Energy Master Plan, applicable industry standards, and the standards of other states and 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Electrical</w:t>
          </w:r>
        </w:smartTag>
      </w:smartTag>
      <w:r>
        <w:t xml:space="preserve"> and Electronic Engineers.  </w:t>
      </w:r>
      <w:r w:rsidRPr="004A13DF">
        <w:rPr>
          <w:u w:val="single"/>
        </w:rPr>
        <w:t xml:space="preserve">The standards or rules shall provide priority status to a </w:t>
      </w:r>
      <w:r w:rsidRPr="00405CCA">
        <w:rPr>
          <w:u w:val="single"/>
        </w:rPr>
        <w:t>solar electric power generation system</w:t>
      </w:r>
      <w:r>
        <w:rPr>
          <w:u w:val="single"/>
        </w:rPr>
        <w:t xml:space="preserve"> that is </w:t>
      </w:r>
      <w:r w:rsidRPr="00405CCA">
        <w:rPr>
          <w:u w:val="single"/>
        </w:rPr>
        <w:t xml:space="preserve">installed on property </w:t>
      </w:r>
      <w:r>
        <w:rPr>
          <w:u w:val="single"/>
        </w:rPr>
        <w:t>of</w:t>
      </w:r>
      <w:r w:rsidRPr="00405CCA">
        <w:rPr>
          <w:u w:val="single"/>
        </w:rPr>
        <w:t xml:space="preserve"> a State entity, school district, county, county agency, county authority, municipality, municipal agency, or municipal authority </w:t>
      </w:r>
      <w:r>
        <w:rPr>
          <w:u w:val="single"/>
        </w:rPr>
        <w:t xml:space="preserve">and expected or intended to provide energy savings to that public entity, over a </w:t>
      </w:r>
      <w:r w:rsidRPr="00405CCA">
        <w:rPr>
          <w:u w:val="single"/>
        </w:rPr>
        <w:t>solar electric power generation system</w:t>
      </w:r>
      <w:r>
        <w:rPr>
          <w:u w:val="single"/>
        </w:rPr>
        <w:t xml:space="preserve"> that is </w:t>
      </w:r>
      <w:r w:rsidRPr="00405CCA">
        <w:rPr>
          <w:u w:val="single"/>
        </w:rPr>
        <w:t xml:space="preserve">installed on </w:t>
      </w:r>
      <w:r>
        <w:rPr>
          <w:u w:val="single"/>
        </w:rPr>
        <w:t xml:space="preserve">private </w:t>
      </w:r>
      <w:r w:rsidRPr="00405CCA">
        <w:rPr>
          <w:u w:val="single"/>
        </w:rPr>
        <w:t>property</w:t>
      </w:r>
      <w:r>
        <w:rPr>
          <w:u w:val="single"/>
        </w:rPr>
        <w:t xml:space="preserve">, provided the </w:t>
      </w:r>
      <w:r w:rsidRPr="00726F9C">
        <w:rPr>
          <w:u w:val="single"/>
        </w:rPr>
        <w:t xml:space="preserve">electric public utility </w:t>
      </w:r>
      <w:r>
        <w:rPr>
          <w:u w:val="single"/>
        </w:rPr>
        <w:t xml:space="preserve">has already determined that the </w:t>
      </w:r>
      <w:r w:rsidRPr="00405CCA">
        <w:rPr>
          <w:u w:val="single"/>
        </w:rPr>
        <w:t>solar electric power generation system</w:t>
      </w:r>
      <w:r>
        <w:rPr>
          <w:u w:val="single"/>
        </w:rPr>
        <w:t xml:space="preserve"> of the public entity is eligible for net metering and has received</w:t>
      </w:r>
      <w:r w:rsidRPr="009747CB">
        <w:rPr>
          <w:u w:val="single"/>
        </w:rPr>
        <w:t xml:space="preserve"> board approval of a designation that the </w:t>
      </w:r>
      <w:r w:rsidRPr="00405CCA">
        <w:rPr>
          <w:u w:val="single"/>
        </w:rPr>
        <w:t>solar electric power generation system</w:t>
      </w:r>
      <w:r w:rsidRPr="009747CB">
        <w:rPr>
          <w:u w:val="single"/>
        </w:rPr>
        <w:t xml:space="preserve"> </w:t>
      </w:r>
      <w:r>
        <w:rPr>
          <w:u w:val="single"/>
        </w:rPr>
        <w:t>can be</w:t>
      </w:r>
      <w:r w:rsidRPr="009747CB">
        <w:rPr>
          <w:u w:val="single"/>
        </w:rPr>
        <w:t xml:space="preserve"> connected to the distribution system</w:t>
      </w:r>
      <w:r w:rsidRPr="00405CCA">
        <w:rPr>
          <w:u w:val="single"/>
        </w:rPr>
        <w:t>.</w:t>
      </w:r>
      <w:r>
        <w:t xml:space="preserve">  The board shall allow electric public utilities to recover the costs of any new net meters, upgraded net meters, system reinforcements or upgrades, and interconnection costs through either their regulated rates or from the net metering customer-generator; </w:t>
      </w:r>
    </w:p>
    <w:p w:rsidR="00F40F15" w:rsidRDefault="00F40F15" w:rsidP="00F40F15">
      <w:r>
        <w:tab/>
        <w:t>(3)</w:t>
      </w:r>
      <w:r>
        <w:tab/>
        <w:t>credit or other incentive rules for generators using Class I renewable energy generation systems that connect to New Jersey's electric public utilities' distribution system but who do not net meter; and</w:t>
      </w:r>
    </w:p>
    <w:p w:rsidR="00F40F15" w:rsidRDefault="00F40F15" w:rsidP="00F40F15">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t>
      </w:r>
      <w:r>
        <w:lastRenderedPageBreak/>
        <w:t xml:space="preserve">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F40F15" w:rsidRDefault="00F40F15" w:rsidP="00F40F15">
      <w:r>
        <w:tab/>
      </w:r>
      <w:r w:rsidRPr="004977AB">
        <w:rPr>
          <w:rFonts w:ascii="Albertus Extra Bold" w:hAnsi="Albertus Extra Bold"/>
          <w:b/>
        </w:rPr>
        <w:t>[</w:t>
      </w:r>
      <w:r>
        <w:t>Such</w:t>
      </w:r>
      <w:r w:rsidRPr="004977AB">
        <w:rPr>
          <w:rFonts w:ascii="Albertus Extra Bold" w:hAnsi="Albertus Extra Bold"/>
          <w:b/>
        </w:rPr>
        <w:t>]</w:t>
      </w:r>
      <w:r>
        <w:t xml:space="preserve"> </w:t>
      </w:r>
      <w:r w:rsidRPr="004977AB">
        <w:rPr>
          <w:u w:val="single"/>
        </w:rPr>
        <w:t>The</w:t>
      </w:r>
      <w:r>
        <w:t xml:space="preserve">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F40F15" w:rsidRDefault="00F40F15" w:rsidP="00F40F15">
      <w:r>
        <w:tab/>
      </w:r>
      <w:r w:rsidRPr="004977AB">
        <w:rPr>
          <w:rFonts w:ascii="Albertus Extra Bold" w:hAnsi="Albertus Extra Bold"/>
          <w:b/>
        </w:rPr>
        <w:t>[</w:t>
      </w:r>
      <w:r>
        <w:t>Such</w:t>
      </w:r>
      <w:r w:rsidRPr="004977AB">
        <w:rPr>
          <w:rFonts w:ascii="Albertus Extra Bold" w:hAnsi="Albertus Extra Bold"/>
          <w:b/>
        </w:rPr>
        <w:t>]</w:t>
      </w:r>
      <w:r>
        <w:t xml:space="preserve"> </w:t>
      </w:r>
      <w:r w:rsidRPr="004977AB">
        <w:rPr>
          <w:u w:val="single"/>
        </w:rPr>
        <w:t>The</w:t>
      </w:r>
      <w:r>
        <w:t xml:space="preserve"> standards or rules shall be effective as regulations immediately upon filing with the Office of Administrative Law and shall be effective for a period not to exceed 18 months, and may, thereafter, be amended, adopted or readopted by the board in </w:t>
      </w:r>
      <w:r>
        <w:lastRenderedPageBreak/>
        <w:t>accordance with the provisions of the "Administrative Procedure Act."</w:t>
      </w:r>
    </w:p>
    <w:p w:rsidR="00F40F15" w:rsidRDefault="00F40F15" w:rsidP="00F40F15">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 the electric energy efficiency portfolio standard adopted pursuant to subsection g. of this section, or the gas energy efficiency portfolio standard adopted pursuant to subsection h. of this section.</w:t>
      </w:r>
    </w:p>
    <w:p w:rsidR="00F40F15" w:rsidRDefault="00F40F15" w:rsidP="00F40F15">
      <w:r>
        <w:tab/>
        <w:t>g.</w:t>
      </w:r>
      <w:r>
        <w:tab/>
        <w:t>The board may adopt, pursuant to the "Administrative Procedure Act," P.L.1968, c.410 (C.52:14B-1 et seq.), an electric energy efficiency portfolio standard that may require each electric public utility to implement energy efficiency measures that reduce electricity usage in the State by 2020 to a level that is 20 percent below the usage projected by the board in the absence of such a standard.  Nothing in this section shall be construed to prevent an electric public utility from meeting the requirements of this section by contracting with another entity for the performance of the requirements.</w:t>
      </w:r>
    </w:p>
    <w:p w:rsidR="00F40F15" w:rsidRDefault="00F40F15" w:rsidP="00F40F15">
      <w:r>
        <w:tab/>
        <w:t>h.</w:t>
      </w:r>
      <w:r>
        <w:tab/>
        <w:t>The board may adopt, pursuant to the "Administrative Procedure Act," P.L.1968, c.410 (C.52:14B-1 et seq.), a gas energy efficiency portfolio standard that may require each gas public utility to implement energy efficiency measures that reduce natural gas usage for heating in the State by 2020 to a level that is 20 percent below the usage projected by the board in the absence of such a standard.  Nothing in this section shall be construed to prevent a gas public utility from meeting the requirements of this section by contracting with another entity for the performance of the requirements.</w:t>
      </w:r>
    </w:p>
    <w:p w:rsidR="00F40F15" w:rsidRDefault="00F40F15" w:rsidP="00F40F15">
      <w:r>
        <w:tab/>
      </w:r>
      <w:proofErr w:type="spellStart"/>
      <w:r>
        <w:t>i</w:t>
      </w:r>
      <w:proofErr w:type="spellEnd"/>
      <w:r>
        <w:t>.</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F40F15" w:rsidRDefault="00F40F15" w:rsidP="00F40F15">
      <w:r>
        <w:tab/>
        <w:t>j.</w:t>
      </w:r>
      <w:r>
        <w:tab/>
        <w:t xml:space="preserve">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w:t>
      </w:r>
      <w:r>
        <w:lastRenderedPageBreak/>
        <w:t>Years 2014 through 2028 per megawatt hour from solar electric generation required pursuant to this section, shall be:</w:t>
      </w:r>
    </w:p>
    <w:p w:rsidR="00F40F15" w:rsidRDefault="00F40F15" w:rsidP="00F40F15">
      <w:r>
        <w:t>EY 2014</w:t>
      </w:r>
      <w:r>
        <w:tab/>
        <w:t>$339</w:t>
      </w:r>
    </w:p>
    <w:p w:rsidR="00F40F15" w:rsidRDefault="00F40F15" w:rsidP="00F40F15">
      <w:r>
        <w:t>EY 2015</w:t>
      </w:r>
      <w:r>
        <w:tab/>
        <w:t>$331</w:t>
      </w:r>
    </w:p>
    <w:p w:rsidR="00F40F15" w:rsidRDefault="00F40F15" w:rsidP="00F40F15">
      <w:r>
        <w:t>EY 2016</w:t>
      </w:r>
      <w:r>
        <w:tab/>
        <w:t>$323</w:t>
      </w:r>
    </w:p>
    <w:p w:rsidR="00F40F15" w:rsidRDefault="00F40F15" w:rsidP="00F40F15">
      <w:r>
        <w:t>EY 2017</w:t>
      </w:r>
      <w:r>
        <w:tab/>
        <w:t>$315</w:t>
      </w:r>
    </w:p>
    <w:p w:rsidR="00F40F15" w:rsidRDefault="00F40F15" w:rsidP="00F40F15">
      <w:r>
        <w:t>EY 2018</w:t>
      </w:r>
      <w:r>
        <w:tab/>
        <w:t>$308</w:t>
      </w:r>
    </w:p>
    <w:p w:rsidR="00F40F15" w:rsidRDefault="00F40F15" w:rsidP="00F40F15">
      <w:r>
        <w:t>EY 2019</w:t>
      </w:r>
      <w:r>
        <w:tab/>
        <w:t>$300</w:t>
      </w:r>
    </w:p>
    <w:p w:rsidR="00F40F15" w:rsidRDefault="00F40F15" w:rsidP="00F40F15">
      <w:r>
        <w:t>EY 2020</w:t>
      </w:r>
      <w:r>
        <w:tab/>
        <w:t>$293</w:t>
      </w:r>
    </w:p>
    <w:p w:rsidR="00F40F15" w:rsidRDefault="00F40F15" w:rsidP="00F40F15">
      <w:r>
        <w:t>EY 2021</w:t>
      </w:r>
      <w:r>
        <w:tab/>
        <w:t>$286</w:t>
      </w:r>
    </w:p>
    <w:p w:rsidR="00F40F15" w:rsidRDefault="00F40F15" w:rsidP="00F40F15">
      <w:r>
        <w:t>EY 2022</w:t>
      </w:r>
      <w:r>
        <w:tab/>
        <w:t>$279</w:t>
      </w:r>
    </w:p>
    <w:p w:rsidR="00F40F15" w:rsidRDefault="00F40F15" w:rsidP="00F40F15">
      <w:r>
        <w:t>EY 2023</w:t>
      </w:r>
      <w:r>
        <w:tab/>
        <w:t>$272</w:t>
      </w:r>
    </w:p>
    <w:p w:rsidR="00F40F15" w:rsidRDefault="00F40F15" w:rsidP="00F40F15">
      <w:r>
        <w:t>EY 2024</w:t>
      </w:r>
      <w:r>
        <w:tab/>
        <w:t>$266</w:t>
      </w:r>
    </w:p>
    <w:p w:rsidR="00F40F15" w:rsidRDefault="00F40F15" w:rsidP="00F40F15">
      <w:r>
        <w:t>EY 2025</w:t>
      </w:r>
      <w:r>
        <w:tab/>
        <w:t>$260</w:t>
      </w:r>
    </w:p>
    <w:p w:rsidR="00F40F15" w:rsidRDefault="00F40F15" w:rsidP="00F40F15">
      <w:r>
        <w:t>EY 2026</w:t>
      </w:r>
      <w:r>
        <w:tab/>
        <w:t>$253</w:t>
      </w:r>
    </w:p>
    <w:p w:rsidR="00F40F15" w:rsidRDefault="00F40F15" w:rsidP="00F40F15">
      <w:r>
        <w:t>EY 2027</w:t>
      </w:r>
      <w:r>
        <w:tab/>
        <w:t>$250</w:t>
      </w:r>
    </w:p>
    <w:p w:rsidR="00F40F15" w:rsidRDefault="00F40F15" w:rsidP="00F40F15">
      <w:r>
        <w:t>EY 2028</w:t>
      </w:r>
      <w:r>
        <w:tab/>
        <w:t>$239.</w:t>
      </w:r>
    </w:p>
    <w:p w:rsidR="00F40F15" w:rsidRDefault="00F40F15" w:rsidP="00F40F15">
      <w:r>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F40F15" w:rsidRDefault="00F40F15" w:rsidP="00F40F15">
      <w:r>
        <w:tab/>
        <w:t>k.</w:t>
      </w:r>
      <w:r>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F40F15" w:rsidRDefault="00F40F15" w:rsidP="00F40F15">
      <w:r>
        <w:tab/>
        <w:t>l.</w:t>
      </w:r>
      <w:r>
        <w:tab/>
        <w:t>The board shall implement its responsibilities under the provisions of this section in such a manner as to:</w:t>
      </w:r>
    </w:p>
    <w:p w:rsidR="00F40F15" w:rsidRDefault="00F40F15" w:rsidP="00F40F15">
      <w:r>
        <w:tab/>
        <w:t>(1)</w:t>
      </w:r>
      <w:r>
        <w:tab/>
        <w:t xml:space="preserve">place greater reliance on competitive markets, with the explicit goal of encouraging and ensuring the emergence of new entrants that can foster innovations and price competition; </w:t>
      </w:r>
    </w:p>
    <w:p w:rsidR="00F40F15" w:rsidRDefault="00F40F15" w:rsidP="00F40F15">
      <w:r>
        <w:tab/>
        <w:t>(2)</w:t>
      </w:r>
      <w:r>
        <w:tab/>
        <w:t>maintain adequate regulatory authority over non-competitive public utility services;</w:t>
      </w:r>
    </w:p>
    <w:p w:rsidR="00F40F15" w:rsidRDefault="00F40F15" w:rsidP="00F40F15">
      <w:r>
        <w:tab/>
        <w:t>(3)</w:t>
      </w:r>
      <w:r>
        <w:tab/>
        <w:t xml:space="preserve">consider alternative forms of regulation in order to address changes in the technology and structure of electric public utilities; </w:t>
      </w:r>
    </w:p>
    <w:p w:rsidR="00F40F15" w:rsidRDefault="00F40F15" w:rsidP="00F40F15">
      <w:r>
        <w:lastRenderedPageBreak/>
        <w:tab/>
        <w:t>(4)</w:t>
      </w:r>
      <w:r>
        <w:tab/>
        <w:t>promote energy efficiency and Class I renewable energy market development, taking into consideration environmental benefits and market barriers;</w:t>
      </w:r>
    </w:p>
    <w:p w:rsidR="00F40F15" w:rsidRDefault="00F40F15" w:rsidP="00F40F15">
      <w:r>
        <w:tab/>
        <w:t>(5)</w:t>
      </w:r>
      <w:r>
        <w:tab/>
        <w:t>make energy services more affordable for low and moderate income customers;</w:t>
      </w:r>
    </w:p>
    <w:p w:rsidR="00F40F15" w:rsidRDefault="00F40F15" w:rsidP="00F40F15">
      <w:r>
        <w:tab/>
        <w:t>(6)</w:t>
      </w:r>
      <w:r>
        <w:tab/>
        <w:t>attempt to transform the renewable energy market into one that can move forward without subsidies from the State or public utilities;</w:t>
      </w:r>
    </w:p>
    <w:p w:rsidR="00F40F15" w:rsidRDefault="00F40F15" w:rsidP="00F40F15">
      <w:r>
        <w:tab/>
        <w:t>(7)</w:t>
      </w:r>
      <w:r>
        <w:tab/>
        <w:t>achieve the goals put forth under the renewable energy portfolio standards;</w:t>
      </w:r>
    </w:p>
    <w:p w:rsidR="00F40F15" w:rsidRDefault="00F40F15" w:rsidP="00F40F15">
      <w:r>
        <w:tab/>
        <w:t>(8)</w:t>
      </w:r>
      <w:r>
        <w:tab/>
        <w:t>promote the lowest cost to ratepayers; and</w:t>
      </w:r>
    </w:p>
    <w:p w:rsidR="00F40F15" w:rsidRDefault="00F40F15" w:rsidP="00F40F15">
      <w:r>
        <w:tab/>
        <w:t>(9)</w:t>
      </w:r>
      <w:r>
        <w:tab/>
        <w:t>allow all market segments to participate.</w:t>
      </w:r>
    </w:p>
    <w:p w:rsidR="00F40F15" w:rsidRDefault="00F40F15" w:rsidP="00F40F15">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F40F15" w:rsidRDefault="00F40F15" w:rsidP="00F40F15">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F40F15" w:rsidRDefault="00F40F15" w:rsidP="00F40F15">
      <w:r>
        <w:tab/>
        <w:t>o.</w:t>
      </w:r>
      <w:r>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F40F15" w:rsidRDefault="00F40F15" w:rsidP="00F40F15">
      <w:r>
        <w:tab/>
        <w:t>(1)</w:t>
      </w:r>
      <w:r>
        <w:tab/>
        <w:t>reductions in air pollution, water pollution, land disturbance, and greenhouse gas emissions;</w:t>
      </w:r>
    </w:p>
    <w:p w:rsidR="00F40F15" w:rsidRDefault="00F40F15" w:rsidP="00F40F15">
      <w:r>
        <w:tab/>
        <w:t>(2)</w:t>
      </w:r>
      <w:r>
        <w:tab/>
        <w:t>reductions in peak demand for electricity and natural gas, and the overall impact on the costs to customers of electricity and natural gas;</w:t>
      </w:r>
    </w:p>
    <w:p w:rsidR="00F40F15" w:rsidRDefault="00F40F15" w:rsidP="00F40F15">
      <w:r>
        <w:tab/>
        <w:t>(3)</w:t>
      </w:r>
      <w:r>
        <w:tab/>
        <w:t>increases in renewable energy development, manufacturing, investment, and job creation opportunities in this State; and</w:t>
      </w:r>
    </w:p>
    <w:p w:rsidR="00F40F15" w:rsidRDefault="00F40F15" w:rsidP="00F40F15">
      <w:r>
        <w:tab/>
        <w:t>(4)</w:t>
      </w:r>
      <w:r>
        <w:tab/>
        <w:t>reductions in State and national dependence on the use of fossil fuels.</w:t>
      </w:r>
    </w:p>
    <w:p w:rsidR="00F40F15" w:rsidRDefault="00F40F15" w:rsidP="00F40F15">
      <w:r>
        <w:tab/>
        <w:t>p.</w:t>
      </w:r>
      <w:r>
        <w:tab/>
        <w:t xml:space="preserve">Class I RECs and ORECs shall be eligible for use in renewable energy portfolio standards compliance in the energy year in which they are generated, and for the following two energy years.  SRECs shall be eligible for use in renewable energy portfolio </w:t>
      </w:r>
      <w:r>
        <w:lastRenderedPageBreak/>
        <w:t>standards compliance in the energy year in which they are generated, and for the following four energy years.</w:t>
      </w:r>
    </w:p>
    <w:p w:rsidR="00F40F15" w:rsidRDefault="00F40F15" w:rsidP="00F40F15">
      <w:r>
        <w:tab/>
        <w:t>q.</w:t>
      </w:r>
      <w:r w:rsidR="005A32C8">
        <w:t xml:space="preserve"> </w:t>
      </w:r>
      <w:r>
        <w:t xml:space="preserve"> (1) </w:t>
      </w:r>
      <w:r w:rsidR="005A32C8">
        <w:t xml:space="preserve"> </w:t>
      </w:r>
      <w:r>
        <w:t>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F40F15" w:rsidRDefault="00F40F15" w:rsidP="00F40F15">
      <w:r>
        <w:tab/>
        <w:t>(2)</w:t>
      </w:r>
      <w:r>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F40F15" w:rsidRDefault="00F40F15" w:rsidP="00F40F15">
      <w:r>
        <w:tab/>
        <w:t>r.</w:t>
      </w:r>
      <w:r>
        <w:tab/>
        <w:t xml:space="preserve">(1) For all proposed solar electric power generation facility projects except for those solar electric power generation facility projects approved pursuant to subsection q. of this section, and for all projects proposed in each energy year following energy year 2016,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power electric generation facility seeking board designation as "connected to the distribution system" shall submit an application to the board that includes for the proposed facility: the nameplate capacity; the estimated energy and number of SRECs to be </w:t>
      </w:r>
      <w:r>
        <w:lastRenderedPageBreak/>
        <w:t>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F40F15" w:rsidRDefault="00F40F15" w:rsidP="00F40F15">
      <w:r>
        <w:tab/>
        <w:t>(2)</w:t>
      </w:r>
      <w:r>
        <w:tab/>
        <w:t>The board shall approve the designation of the proposed solar power electric generation facility as "connected to the distribution system" if the board determines that:</w:t>
      </w:r>
    </w:p>
    <w:p w:rsidR="00F40F15" w:rsidRDefault="00F40F15" w:rsidP="00F40F15">
      <w:r>
        <w:tab/>
        <w:t>(a)</w:t>
      </w:r>
      <w:r>
        <w:tab/>
        <w:t>the SRECs forecasted to be produced by the facility do not have a detrimental impact on the SREC market or on the appropriate development of solar power in the State;</w:t>
      </w:r>
    </w:p>
    <w:p w:rsidR="00F40F15" w:rsidRDefault="00F40F15" w:rsidP="00F40F15">
      <w:r>
        <w:tab/>
        <w:t>(b)</w:t>
      </w:r>
      <w:r>
        <w:tab/>
        <w:t>the approval of the designation of the proposed facility would not significantly impact the preservation of open space in this State;</w:t>
      </w:r>
    </w:p>
    <w:p w:rsidR="00F40F15" w:rsidRDefault="00F40F15" w:rsidP="00F40F15">
      <w:r>
        <w:tab/>
        <w:t>(c)</w:t>
      </w:r>
      <w:r>
        <w:tab/>
        <w:t>the impact of the designation on electric rates and economic development is beneficial; and</w:t>
      </w:r>
    </w:p>
    <w:p w:rsidR="00F40F15" w:rsidRDefault="00F40F15" w:rsidP="00F40F15">
      <w:r>
        <w:tab/>
        <w:t>(d)</w:t>
      </w:r>
      <w:r>
        <w:tab/>
        <w:t>there will be no impingement on the ability of an electric public utility to maintain its property and equipment in such a condition as to enable it to provide safe, adequate, and proper service to each of its customers.</w:t>
      </w:r>
    </w:p>
    <w:p w:rsidR="00F40F15" w:rsidRDefault="00F40F15" w:rsidP="00F40F15">
      <w:r>
        <w:tab/>
        <w:t>(3)</w:t>
      </w:r>
      <w:r>
        <w:tab/>
        <w:t>The board shall act within 90 days of its receipt of a completed application for designation of a solar power electric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F40F15" w:rsidRDefault="00F40F15" w:rsidP="00F40F15">
      <w:r>
        <w:tab/>
        <w:t>s.</w:t>
      </w:r>
      <w:r>
        <w:tab/>
        <w:t>In addition to any other requirements of P.L.1999, c.23 or any other law, rule, regulation</w:t>
      </w:r>
      <w:r w:rsidRPr="004977AB">
        <w:rPr>
          <w:u w:val="single"/>
        </w:rPr>
        <w:t>,</w:t>
      </w:r>
      <w:r>
        <w:t xml:space="preserve">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w:t>
      </w:r>
      <w:r>
        <w:lastRenderedPageBreak/>
        <w:t>authority concerning the review and oversight of facilities, unless such facilities are exempt from such review as a result of having been approved pursuant to subsection q. of this section.</w:t>
      </w:r>
    </w:p>
    <w:p w:rsidR="00F40F15" w:rsidRDefault="005A32C8" w:rsidP="00F40F15">
      <w:r>
        <w:tab/>
        <w:t>t.</w:t>
      </w:r>
      <w:r>
        <w:tab/>
      </w:r>
      <w:r w:rsidR="00F40F15">
        <w:t xml:space="preserve">(1)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w:t>
      </w:r>
      <w:r w:rsidR="00F40F15" w:rsidRPr="004977AB">
        <w:rPr>
          <w:rFonts w:ascii="Albertus Extra Bold" w:hAnsi="Albertus Extra Bold"/>
          <w:b/>
        </w:rPr>
        <w:t>[</w:t>
      </w:r>
      <w:r w:rsidR="00F40F15">
        <w:t>system",</w:t>
      </w:r>
      <w:r w:rsidR="00F40F15" w:rsidRPr="004977AB">
        <w:rPr>
          <w:rFonts w:ascii="Albertus Extra Bold" w:hAnsi="Albertus Extra Bold"/>
          <w:b/>
        </w:rPr>
        <w:t>]</w:t>
      </w:r>
      <w:r w:rsidR="00F40F15">
        <w:t xml:space="preserve"> </w:t>
      </w:r>
      <w:r w:rsidR="00F40F15" w:rsidRPr="000E7B80">
        <w:rPr>
          <w:u w:val="single"/>
        </w:rPr>
        <w:t>system,”</w:t>
      </w:r>
      <w:r w:rsidR="00F40F15">
        <w:t xml:space="preserve">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F40F15" w:rsidRDefault="00F40F15" w:rsidP="00F40F15">
      <w:r>
        <w:tab/>
        <w:t>(2)</w:t>
      </w:r>
      <w:r>
        <w:tab/>
        <w:t xml:space="preserve">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w:t>
      </w:r>
      <w:r>
        <w:lastRenderedPageBreak/>
        <w:t>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F40F15" w:rsidRDefault="00F40F15" w:rsidP="00F40F15">
      <w:r>
        <w:tab/>
        <w:t>(a)</w:t>
      </w:r>
      <w:r>
        <w:tab/>
        <w:t>the person acquired or leased the real property after the discharge of that hazardous substance at the real property;</w:t>
      </w:r>
    </w:p>
    <w:p w:rsidR="00F40F15" w:rsidRDefault="00F40F15" w:rsidP="00F40F15">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F40F15" w:rsidRDefault="00F40F15" w:rsidP="00F40F15">
      <w:r>
        <w:tab/>
        <w:t>(c)</w:t>
      </w:r>
      <w:r>
        <w:tab/>
        <w:t>the person, within 30 days after acquisition of the property, gave notice of the discharge to the Department of Environmental Protection in a manner the Department of Environmental Protection prescribes;</w:t>
      </w:r>
    </w:p>
    <w:p w:rsidR="00F40F15" w:rsidRDefault="00F40F15" w:rsidP="00F40F15">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F40F15" w:rsidRDefault="00F40F15" w:rsidP="00F40F15">
      <w:r>
        <w:tab/>
        <w:t>(e)</w:t>
      </w:r>
      <w:r>
        <w:tab/>
        <w:t>the person does not exacerbate the contamination at the property;</w:t>
      </w:r>
    </w:p>
    <w:p w:rsidR="00F40F15" w:rsidRDefault="00F40F15" w:rsidP="00F40F15">
      <w:r>
        <w:tab/>
        <w:t>(f)</w:t>
      </w:r>
      <w:r>
        <w:tab/>
        <w:t>the person does not interfere with any necessary remediation of the property;</w:t>
      </w:r>
    </w:p>
    <w:p w:rsidR="00F40F15" w:rsidRDefault="00F40F15" w:rsidP="00F40F15">
      <w:r>
        <w:tab/>
        <w:t>(g)</w:t>
      </w:r>
      <w:r>
        <w:tab/>
        <w:t>the person complies with any regulations and any permit the Department of Environmental Protection issues pursuant to section 19 of P.L.2009, c.60 (C.58:10C-19) or paragraph (2) of subsection a. of section 6 of P.L.1970, c.39 (C.13:1E-6);</w:t>
      </w:r>
    </w:p>
    <w:p w:rsidR="00F40F15" w:rsidRDefault="00F40F15" w:rsidP="00F40F15">
      <w:r>
        <w:tab/>
        <w:t>(h)</w:t>
      </w:r>
      <w:r>
        <w:tab/>
        <w:t>with respect to an area of historic fill, the person has demonstrated pursuant to a preliminary assessment and site investigation, that hazardous substances have not been discharged; and</w:t>
      </w:r>
    </w:p>
    <w:p w:rsidR="00F40F15" w:rsidRDefault="00F40F15" w:rsidP="00F40F15">
      <w:r>
        <w:tab/>
        <w:t>(</w:t>
      </w:r>
      <w:proofErr w:type="spellStart"/>
      <w:r>
        <w:t>i</w:t>
      </w:r>
      <w:proofErr w:type="spellEnd"/>
      <w:r>
        <w:t>)</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F40F15" w:rsidRDefault="00F40F15" w:rsidP="00F40F15">
      <w:r>
        <w:tab/>
        <w:t xml:space="preserve">Only the person who is liable to clean up and remove the contamination pursuant to section 8 of P.L.1976, c.141 (C.58:10-23.11g) and who does not have a defense to liability pursuant to </w:t>
      </w:r>
      <w:r>
        <w:lastRenderedPageBreak/>
        <w:t>subsection d. of that section shall be liable for cleanup and removal costs.</w:t>
      </w:r>
    </w:p>
    <w:p w:rsidR="00F40F15" w:rsidRDefault="00F40F15" w:rsidP="00F40F15">
      <w:r>
        <w:tab/>
        <w:t>u.</w:t>
      </w:r>
      <w:r>
        <w:tab/>
        <w:t xml:space="preserve">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w:t>
      </w:r>
      <w:r w:rsidRPr="000E7B80">
        <w:rPr>
          <w:rFonts w:ascii="Albertus Extra Bold" w:hAnsi="Albertus Extra Bold"/>
          <w:b/>
        </w:rPr>
        <w:t>[</w:t>
      </w:r>
      <w:r>
        <w:t>such</w:t>
      </w:r>
      <w:r w:rsidRPr="000E7B80">
        <w:rPr>
          <w:rFonts w:ascii="Albertus Extra Bold" w:hAnsi="Albertus Extra Bold"/>
          <w:b/>
        </w:rPr>
        <w:t>]</w:t>
      </w:r>
      <w:r>
        <w:t xml:space="preserve"> times </w:t>
      </w:r>
      <w:r w:rsidRPr="000E7B80">
        <w:rPr>
          <w:rFonts w:ascii="Albertus Extra Bold" w:hAnsi="Albertus Extra Bold"/>
          <w:b/>
        </w:rPr>
        <w:t>[</w:t>
      </w:r>
      <w:r>
        <w:t>as</w:t>
      </w:r>
      <w:r w:rsidRPr="000E7B80">
        <w:rPr>
          <w:rFonts w:ascii="Albertus Extra Bold" w:hAnsi="Albertus Extra Bold"/>
          <w:b/>
        </w:rPr>
        <w:t>]</w:t>
      </w:r>
      <w:r>
        <w:t xml:space="preserve"> determined by the board to provide full disclosure and transparency regarding the overall level of development and construction activity of those projects Statewide.</w:t>
      </w:r>
    </w:p>
    <w:p w:rsidR="00F40F15" w:rsidRDefault="00F40F15" w:rsidP="00F40F15">
      <w:r>
        <w:tab/>
        <w:t>v.</w:t>
      </w:r>
      <w:r>
        <w:tab/>
        <w:t>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w:t>
      </w:r>
    </w:p>
    <w:p w:rsidR="00F40F15" w:rsidRDefault="00F40F15" w:rsidP="00F40F15">
      <w:r>
        <w:tab/>
        <w:t>w.</w:t>
      </w:r>
      <w:r>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F40F15" w:rsidRDefault="00F40F15" w:rsidP="00F40F15">
      <w:r>
        <w:tab/>
        <w:t>x.</w:t>
      </w:r>
      <w:r>
        <w:tab/>
        <w:t xml:space="preserve">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 </w:t>
      </w:r>
    </w:p>
    <w:p w:rsidR="00F40F15" w:rsidRDefault="00F40F15" w:rsidP="00F40F15">
      <w:r>
        <w:t>(</w:t>
      </w:r>
      <w:proofErr w:type="spellStart"/>
      <w:r>
        <w:t>cf</w:t>
      </w:r>
      <w:proofErr w:type="spellEnd"/>
      <w:r>
        <w:t>: P.L.2012, c.24, s.2)</w:t>
      </w:r>
    </w:p>
    <w:p w:rsidR="00F40F15" w:rsidRPr="00AA7880" w:rsidRDefault="00F40F15" w:rsidP="00F40F15">
      <w:r>
        <w:lastRenderedPageBreak/>
        <w:tab/>
        <w:t>2.</w:t>
      </w:r>
      <w:r>
        <w:tab/>
        <w:t>This act shall take effect immediately but remain inoperative for 60 days following the date of enactment.</w:t>
      </w:r>
    </w:p>
    <w:p w:rsidR="00F40F15" w:rsidRDefault="00F40F15" w:rsidP="00F40F15"/>
    <w:p w:rsidR="00F40F15" w:rsidRPr="00CE7BD8" w:rsidRDefault="00F40F15" w:rsidP="00F40F15"/>
    <w:p w:rsidR="00F40F15" w:rsidRPr="00AA7880" w:rsidRDefault="00F40F15" w:rsidP="00F40F15">
      <w:pPr>
        <w:jc w:val="center"/>
      </w:pPr>
      <w:r w:rsidRPr="00D71D68">
        <w:t>STATEMENT</w:t>
      </w:r>
    </w:p>
    <w:p w:rsidR="00F40F15" w:rsidRDefault="00F40F15" w:rsidP="00F40F15"/>
    <w:p w:rsidR="00F40F15" w:rsidRPr="00E7752C" w:rsidRDefault="00F40F15" w:rsidP="00F40F15">
      <w:r>
        <w:tab/>
        <w:t xml:space="preserve">This bill </w:t>
      </w:r>
      <w:r w:rsidRPr="0060755E">
        <w:t>provide</w:t>
      </w:r>
      <w:r>
        <w:t>s</w:t>
      </w:r>
      <w:r w:rsidRPr="0060755E">
        <w:t xml:space="preserve"> priority status to a solar electric power generation system that is installed on </w:t>
      </w:r>
      <w:r>
        <w:t xml:space="preserve">the </w:t>
      </w:r>
      <w:r w:rsidRPr="0060755E">
        <w:t xml:space="preserve">property of a State entity, school district, county, county agency, county authority, municipality, municipal agency, or municipal authority and </w:t>
      </w:r>
      <w:r>
        <w:t>that is expected or intended to provide</w:t>
      </w:r>
      <w:r w:rsidRPr="0060755E">
        <w:t xml:space="preserve"> energy savings to that public entity, over a solar electric power generation system that is installed on private property, provided the </w:t>
      </w:r>
      <w:r>
        <w:t xml:space="preserve">applicable </w:t>
      </w:r>
      <w:r w:rsidRPr="0060755E">
        <w:t>electric public utility has already determined that the public entity</w:t>
      </w:r>
      <w:r>
        <w:t>’s</w:t>
      </w:r>
      <w:r w:rsidRPr="0060755E">
        <w:t xml:space="preserve"> solar electric power generation system is eligible for net metering and has received </w:t>
      </w:r>
      <w:r>
        <w:t>B</w:t>
      </w:r>
      <w:r w:rsidRPr="0060755E">
        <w:t xml:space="preserve">oard </w:t>
      </w:r>
      <w:r>
        <w:t xml:space="preserve">of Public Utilities </w:t>
      </w:r>
      <w:r w:rsidRPr="0060755E">
        <w:t xml:space="preserve">approval </w:t>
      </w:r>
      <w:r>
        <w:t>to</w:t>
      </w:r>
      <w:r w:rsidRPr="0060755E">
        <w:t xml:space="preserve"> be connected to the </w:t>
      </w:r>
      <w:r>
        <w:t xml:space="preserve">electric </w:t>
      </w:r>
      <w:r w:rsidRPr="0060755E">
        <w:t>distribution system</w:t>
      </w:r>
      <w:r w:rsidR="0047380A">
        <w:t>.</w:t>
      </w:r>
    </w:p>
    <w:sectPr w:rsidR="00F40F15" w:rsidRPr="00E7752C" w:rsidSect="005A32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3AF" w:rsidRDefault="00B363AF">
      <w:r>
        <w:separator/>
      </w:r>
    </w:p>
  </w:endnote>
  <w:endnote w:type="continuationSeparator" w:id="0">
    <w:p w:rsidR="00B363AF" w:rsidRDefault="00B3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C8" w:rsidRPr="00921C91" w:rsidRDefault="005A3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32C8" w:rsidRPr="00921C91" w:rsidRDefault="005A32C8">
    <w:pPr>
      <w:pStyle w:val="Footer"/>
      <w:rPr>
        <w:szCs w:val="18"/>
      </w:rPr>
    </w:pPr>
  </w:p>
  <w:p w:rsidR="005A32C8" w:rsidRPr="00921C91" w:rsidRDefault="005A32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3AF" w:rsidRDefault="00B363AF">
      <w:r>
        <w:separator/>
      </w:r>
    </w:p>
  </w:footnote>
  <w:footnote w:type="continuationSeparator" w:id="0">
    <w:p w:rsidR="00B363AF" w:rsidRDefault="00B36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13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32C8" w:rsidRDefault="005A32C8" w:rsidP="005A32C8">
    <w:pPr>
      <w:pStyle w:val="bpuHeadSpon"/>
    </w:pPr>
    <w:r w:rsidRPr="005A32C8">
      <w:rPr>
        <w:rStyle w:val="bpuHeadSponChar"/>
      </w:rPr>
      <w:t>S708</w:t>
    </w:r>
    <w:r>
      <w:t xml:space="preserve"> ADDIEGO</w:t>
    </w:r>
  </w:p>
  <w:p w:rsidR="005A32C8" w:rsidRDefault="005A32C8" w:rsidP="005A32C8">
    <w:pPr>
      <w:pStyle w:val="bpuHeadSpon"/>
    </w:pPr>
    <w:r>
      <w:fldChar w:fldCharType="begin"/>
    </w:r>
    <w:r>
      <w:instrText xml:space="preserve"> PAGE  \* MERGEFORMAT </w:instrText>
    </w:r>
    <w:r>
      <w:fldChar w:fldCharType="separate"/>
    </w:r>
    <w:r w:rsidR="006713E3">
      <w:rPr>
        <w:noProof/>
      </w:rPr>
      <w:t>18</w:t>
    </w:r>
    <w:r>
      <w:fldChar w:fldCharType="end"/>
    </w:r>
  </w:p>
  <w:p w:rsidR="005A32C8" w:rsidRPr="00AF575C" w:rsidRDefault="005A32C8" w:rsidP="005A3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32C8" w:rsidRDefault="005A32C8" w:rsidP="005A32C8">
    <w:pPr>
      <w:pStyle w:val="bpuHeadSpon"/>
    </w:pPr>
    <w:r w:rsidRPr="005A32C8">
      <w:rPr>
        <w:rStyle w:val="bpuHeadSponChar"/>
      </w:rPr>
      <w:t>S708</w:t>
    </w:r>
    <w:r>
      <w:t xml:space="preserve"> ADDIEGO</w:t>
    </w:r>
  </w:p>
  <w:p w:rsidR="005A32C8" w:rsidRDefault="005A32C8" w:rsidP="005A32C8">
    <w:pPr>
      <w:pStyle w:val="bpuHeadSpon"/>
    </w:pPr>
    <w:r>
      <w:fldChar w:fldCharType="begin"/>
    </w:r>
    <w:r>
      <w:instrText xml:space="preserve"> PAGE  \* MERGEFORMAT </w:instrText>
    </w:r>
    <w:r>
      <w:fldChar w:fldCharType="separate"/>
    </w:r>
    <w:r w:rsidR="006713E3">
      <w:rPr>
        <w:noProof/>
      </w:rPr>
      <w:t>2</w:t>
    </w:r>
    <w:r>
      <w:fldChar w:fldCharType="end"/>
    </w:r>
  </w:p>
  <w:p w:rsidR="005A32C8" w:rsidRDefault="005A32C8" w:rsidP="005A3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6E9"/>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80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2C8"/>
    <w:rsid w:val="005B41E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3E3"/>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24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D80"/>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3AF"/>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F1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AB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4F4C2FE-9A29-4F2B-85FC-434E3FC5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41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1E8"/>
    <w:rPr>
      <w:rFonts w:ascii="Segoe UI" w:hAnsi="Segoe UI" w:cs="Segoe UI"/>
      <w:spacing w:val="4"/>
      <w:sz w:val="18"/>
      <w:szCs w:val="18"/>
    </w:rPr>
  </w:style>
  <w:style w:type="character" w:styleId="LineNumber">
    <w:name w:val="line number"/>
    <w:basedOn w:val="DefaultParagraphFont"/>
    <w:semiHidden/>
    <w:unhideWhenUsed/>
    <w:rsid w:val="005A3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C0377-B505-44B9-A194-FA177705C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7082</Words>
  <Characters>38792</Characters>
  <Application>Microsoft Office Word</Application>
  <DocSecurity>0</DocSecurity>
  <Lines>800</Lines>
  <Paragraphs>142</Paragraphs>
  <ScaleCrop>false</ScaleCrop>
  <HeadingPairs>
    <vt:vector size="2" baseType="variant">
      <vt:variant>
        <vt:lpstr>Title</vt:lpstr>
      </vt:variant>
      <vt:variant>
        <vt:i4>1</vt:i4>
      </vt:variant>
    </vt:vector>
  </HeadingPairs>
  <TitlesOfParts>
    <vt:vector size="1" baseType="lpstr">
      <vt:lpstr>S708</vt:lpstr>
    </vt:vector>
  </TitlesOfParts>
  <Manager>R229</Manager>
  <Company>OFFICE of LEGISLATIVE SERVICES</Company>
  <LinksUpToDate>false</LinksUpToDate>
  <CharactersWithSpaces>45923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S708</dc:title>
  <dc:creator>Senator  ADDIEGO</dc:creator>
  <cp:keywords>S708|18|ER |65|0|0|!|0|</cp:keywords>
  <dc:description>PREFILED 2020</dc:description>
  <cp:lastModifiedBy>Bell, Careema</cp:lastModifiedBy>
  <cp:revision>2</cp:revision>
  <cp:lastPrinted>2020-01-09T21:55:00Z</cp:lastPrinted>
  <dcterms:created xsi:type="dcterms:W3CDTF">2020-01-10T00:27:00Z</dcterms:created>
  <dcterms:modified xsi:type="dcterms:W3CDTF">2020-01-10T00:27:00Z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