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105" w:rsidRDefault="000D7105" w:rsidP="000D7105">
      <w:pPr>
        <w:pStyle w:val="bpuReprint"/>
      </w:pPr>
      <w:bookmarkStart w:id="0" w:name="bpuFrontPg"/>
      <w:bookmarkStart w:id="1" w:name="_GoBack"/>
      <w:bookmarkEnd w:id="0"/>
      <w:bookmarkEnd w:id="1"/>
      <w:r>
        <w:t>[First Reprint]</w:t>
      </w:r>
    </w:p>
    <w:p w:rsidR="0014736D" w:rsidRDefault="0014736D" w:rsidP="0014736D">
      <w:pPr>
        <w:pStyle w:val="bpuBill"/>
      </w:pPr>
      <w:r>
        <w:t xml:space="preserve">SENATE, No. 830 </w:t>
      </w:r>
    </w:p>
    <w:p w:rsidR="0014736D" w:rsidRPr="0014736D" w:rsidRDefault="0014736D" w:rsidP="001473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4030" r:id="rId8"/>
        </w:object>
      </w:r>
    </w:p>
    <w:p w:rsidR="0014736D" w:rsidRDefault="0014736D" w:rsidP="0014736D">
      <w:pPr>
        <w:pStyle w:val="bpuState"/>
      </w:pPr>
      <w:r>
        <w:t>STATE OF NEW JERSEY</w:t>
      </w:r>
    </w:p>
    <w:p w:rsidR="0014736D" w:rsidRDefault="0014736D" w:rsidP="0014736D">
      <w:pPr>
        <w:pStyle w:val="bpuLegislature"/>
      </w:pPr>
      <w:r>
        <w:t>219th LEGISLATURE</w:t>
      </w:r>
    </w:p>
    <w:p w:rsidR="0014736D" w:rsidRDefault="0014736D" w:rsidP="0014736D">
      <w:pPr>
        <w:pStyle w:val="bpuWpGraphic"/>
      </w:pPr>
      <w:r>
        <w:object w:dxaOrig="8985" w:dyaOrig="255">
          <v:shape id="_x0000_i1026" type="#_x0000_t75" style="width:6in;height:12pt" o:ole="">
            <v:imagedata r:id="rId7" o:title=""/>
          </v:shape>
          <o:OLEObject Type="Embed" ProgID="WPWin6.1" ShapeID="_x0000_i1026" DrawAspect="Content" ObjectID="_1686384031" r:id="rId9"/>
        </w:object>
      </w:r>
      <w:r>
        <w:t xml:space="preserve">  </w:t>
      </w:r>
    </w:p>
    <w:p w:rsidR="0014736D" w:rsidRDefault="0014736D" w:rsidP="0014736D">
      <w:pPr>
        <w:pStyle w:val="bpuIntro"/>
      </w:pPr>
      <w:r>
        <w:t>PRE-FILED FOR INTRODUCTION IN THE 2020 SESSION</w:t>
      </w:r>
    </w:p>
    <w:p w:rsidR="0014736D" w:rsidRDefault="0014736D" w:rsidP="0014736D">
      <w:pPr>
        <w:pStyle w:val="bpuIntro"/>
      </w:pPr>
    </w:p>
    <w:p w:rsidR="0014736D" w:rsidRDefault="0014736D" w:rsidP="0014736D">
      <w:pPr>
        <w:pStyle w:val="bpuIntro"/>
        <w:sectPr w:rsidR="0014736D" w:rsidSect="00E718C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736D" w:rsidRDefault="0014736D" w:rsidP="0014736D">
      <w:pPr>
        <w:pStyle w:val="bpuIntro"/>
      </w:pPr>
    </w:p>
    <w:p w:rsidR="0014736D" w:rsidRDefault="0014736D" w:rsidP="0014736D">
      <w:pPr>
        <w:pStyle w:val="bpuSponsor"/>
      </w:pPr>
      <w:r>
        <w:t>Sponsored by:</w:t>
      </w:r>
    </w:p>
    <w:p w:rsidR="0014736D" w:rsidRDefault="0014736D" w:rsidP="0014736D">
      <w:pPr>
        <w:pStyle w:val="bpuSponsor"/>
      </w:pPr>
      <w:r>
        <w:t>Senator  JOSEPH A. LAGANA</w:t>
      </w:r>
    </w:p>
    <w:p w:rsidR="0014736D" w:rsidRDefault="0014736D" w:rsidP="0014736D">
      <w:pPr>
        <w:pStyle w:val="bpuSponsor"/>
      </w:pPr>
      <w:r>
        <w:t>District 38 (Bergen and Passaic)</w:t>
      </w:r>
    </w:p>
    <w:p w:rsidR="0014736D" w:rsidRDefault="0014736D" w:rsidP="0014736D">
      <w:pPr>
        <w:pStyle w:val="bpuSponsor"/>
      </w:pPr>
      <w:r>
        <w:t>Senator  LINDA R. GREENSTEIN</w:t>
      </w:r>
    </w:p>
    <w:p w:rsidR="0014736D" w:rsidRDefault="0014736D" w:rsidP="0014736D">
      <w:pPr>
        <w:pStyle w:val="bpuSponsor"/>
      </w:pPr>
      <w:r>
        <w:t>District 14 (Mercer and Middlesex)</w:t>
      </w:r>
    </w:p>
    <w:p w:rsidR="0014736D" w:rsidRDefault="00E718C6" w:rsidP="00E718C6">
      <w:pPr>
        <w:pStyle w:val="bpuSponsor"/>
      </w:pPr>
      <w:r>
        <w:t>Assemblyman  P. CHRISTOPHER TULLY</w:t>
      </w:r>
    </w:p>
    <w:p w:rsidR="00E718C6" w:rsidRDefault="00E718C6" w:rsidP="00E718C6">
      <w:pPr>
        <w:pStyle w:val="bpuSponsor"/>
      </w:pPr>
      <w:r>
        <w:t>District 38 (Bergen and Passaic)</w:t>
      </w:r>
    </w:p>
    <w:p w:rsidR="00E718C6" w:rsidRDefault="00E718C6" w:rsidP="00E718C6">
      <w:pPr>
        <w:pStyle w:val="bpuSponsor"/>
      </w:pPr>
      <w:r>
        <w:t>Assemblywoman  LISA SWAIN</w:t>
      </w:r>
    </w:p>
    <w:p w:rsidR="00E718C6" w:rsidRDefault="00E718C6" w:rsidP="00E718C6">
      <w:pPr>
        <w:pStyle w:val="bpuSponsor"/>
      </w:pPr>
      <w:r>
        <w:t>District 38 (Bergen and Passaic)</w:t>
      </w:r>
    </w:p>
    <w:p w:rsidR="00E718C6" w:rsidRDefault="00E718C6" w:rsidP="00E718C6">
      <w:pPr>
        <w:pStyle w:val="bpuSponsor"/>
      </w:pPr>
      <w:r>
        <w:t>Assemblyman  HERB CONAWAY, JR.</w:t>
      </w:r>
    </w:p>
    <w:p w:rsidR="00E718C6" w:rsidRDefault="00E718C6" w:rsidP="00E718C6">
      <w:pPr>
        <w:pStyle w:val="bpuSponsor"/>
      </w:pPr>
      <w:r>
        <w:t>District 7 (Burlington)</w:t>
      </w:r>
    </w:p>
    <w:p w:rsidR="00E718C6" w:rsidRPr="00E718C6" w:rsidRDefault="00E718C6" w:rsidP="00E718C6"/>
    <w:p w:rsidR="00FB7763" w:rsidRDefault="00E718C6" w:rsidP="00E718C6">
      <w:pPr>
        <w:pStyle w:val="bpuSponsor"/>
      </w:pPr>
      <w:r>
        <w:t>Co-Sponsored by:</w:t>
      </w:r>
    </w:p>
    <w:p w:rsidR="00E718C6" w:rsidRPr="00E718C6" w:rsidRDefault="00E718C6" w:rsidP="00E718C6">
      <w:pPr>
        <w:pStyle w:val="bpuSponsor"/>
      </w:pPr>
      <w:r w:rsidRPr="00E718C6">
        <w:t xml:space="preserve">Senator </w:t>
      </w:r>
      <w:proofErr w:type="spellStart"/>
      <w:r w:rsidRPr="00E718C6">
        <w:t>Pou</w:t>
      </w:r>
      <w:proofErr w:type="spellEnd"/>
      <w:r w:rsidRPr="00E718C6">
        <w:t xml:space="preserve">, Assemblyman Johnson, Assemblywoman </w:t>
      </w:r>
      <w:proofErr w:type="spellStart"/>
      <w:r w:rsidRPr="00E718C6">
        <w:t>Vainieri</w:t>
      </w:r>
      <w:proofErr w:type="spellEnd"/>
      <w:r w:rsidRPr="00E718C6">
        <w:t xml:space="preserve"> </w:t>
      </w:r>
      <w:proofErr w:type="spellStart"/>
      <w:r w:rsidRPr="00E718C6">
        <w:t>Huttle</w:t>
      </w:r>
      <w:proofErr w:type="spellEnd"/>
      <w:r w:rsidRPr="00E718C6">
        <w:t xml:space="preserve">, Assemblyman </w:t>
      </w:r>
      <w:proofErr w:type="spellStart"/>
      <w:r w:rsidRPr="00E718C6">
        <w:t>Karabinchak</w:t>
      </w:r>
      <w:proofErr w:type="spellEnd"/>
      <w:r w:rsidRPr="00E718C6">
        <w:t xml:space="preserve">, Assemblywoman </w:t>
      </w:r>
      <w:proofErr w:type="spellStart"/>
      <w:r w:rsidRPr="00E718C6">
        <w:t>Mosquera</w:t>
      </w:r>
      <w:proofErr w:type="spellEnd"/>
      <w:r w:rsidRPr="00E718C6">
        <w:t>, Assemblyman Calabrese and Assemblywoman Murphy</w:t>
      </w:r>
    </w:p>
    <w:p w:rsidR="0014736D" w:rsidRDefault="0014736D" w:rsidP="0014736D">
      <w:pPr>
        <w:pStyle w:val="bpuSponsor"/>
      </w:pPr>
    </w:p>
    <w:p w:rsidR="00FB7763" w:rsidRDefault="00FB7763" w:rsidP="00FB7763"/>
    <w:p w:rsidR="00FB7763" w:rsidRPr="00FB7763" w:rsidRDefault="00FB7763" w:rsidP="00FB7763"/>
    <w:p w:rsidR="0014736D" w:rsidRDefault="0014736D" w:rsidP="0014736D">
      <w:pPr>
        <w:pStyle w:val="bpuSponsor"/>
      </w:pPr>
    </w:p>
    <w:p w:rsidR="0014736D" w:rsidRDefault="0014736D" w:rsidP="0014736D">
      <w:pPr>
        <w:pStyle w:val="bpuSponsor"/>
      </w:pPr>
      <w:r>
        <w:t>SYNOPSIS</w:t>
      </w:r>
    </w:p>
    <w:p w:rsidR="0014736D" w:rsidRDefault="0014736D" w:rsidP="0014736D">
      <w:pPr>
        <w:pStyle w:val="bpuNormText"/>
      </w:pPr>
      <w:r>
        <w:tab/>
        <w:t xml:space="preserve">Requires public water systems to offer drinking water tests to customers in certain circumstances. </w:t>
      </w:r>
    </w:p>
    <w:p w:rsidR="0014736D" w:rsidRDefault="0014736D" w:rsidP="0014736D">
      <w:pPr>
        <w:pStyle w:val="bpuNormText"/>
      </w:pPr>
    </w:p>
    <w:p w:rsidR="0014736D" w:rsidRDefault="0014736D" w:rsidP="0014736D">
      <w:pPr>
        <w:pStyle w:val="bpuSponsor"/>
      </w:pPr>
      <w:r>
        <w:t xml:space="preserve">CURRENT VERSION OF TEXT </w:t>
      </w:r>
    </w:p>
    <w:p w:rsidR="0014736D" w:rsidRDefault="000D7105" w:rsidP="0014736D">
      <w:pPr>
        <w:pStyle w:val="bpuNormText"/>
      </w:pPr>
      <w:r>
        <w:tab/>
        <w:t>As amended by the General Assembly on June 24, 2021.</w:t>
      </w:r>
    </w:p>
    <w:p w:rsidR="0014736D" w:rsidRDefault="0014736D" w:rsidP="001473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736D" w:rsidRDefault="001473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736D" w:rsidSect="0014736D">
          <w:type w:val="continuous"/>
          <w:pgSz w:w="12240" w:h="20160" w:code="5"/>
          <w:pgMar w:top="2160" w:right="2275" w:bottom="1440" w:left="2275" w:header="72" w:footer="720" w:gutter="0"/>
          <w:pgNumType w:start="1"/>
          <w:cols w:space="720"/>
          <w:docGrid w:linePitch="360"/>
        </w:sectPr>
      </w:pPr>
    </w:p>
    <w:p w:rsidR="008F122E" w:rsidRPr="00677316" w:rsidRDefault="008F122E" w:rsidP="008F122E">
      <w:pPr>
        <w:pStyle w:val="HangingAnAct"/>
        <w:rPr>
          <w:rStyle w:val="HangingAnActChar"/>
        </w:rPr>
      </w:pPr>
      <w:r w:rsidRPr="008F122E">
        <w:rPr>
          <w:rStyle w:val="BillHead"/>
        </w:rPr>
        <w:lastRenderedPageBreak/>
        <w:t>An Act</w:t>
      </w:r>
      <w:r w:rsidRPr="006B7FA7">
        <w:rPr>
          <w:rStyle w:val="HangingAnActChar"/>
        </w:rPr>
        <w:t xml:space="preserve"> </w:t>
      </w:r>
      <w:r>
        <w:t xml:space="preserve">concerning drinking water testing and supplementing </w:t>
      </w:r>
      <w:r>
        <w:rPr>
          <w:color w:val="000000"/>
        </w:rPr>
        <w:t>P.L.1977, c.224 (C.58:12A-1 et seq.).</w:t>
      </w:r>
    </w:p>
    <w:p w:rsidR="008F122E" w:rsidRPr="00D71D68" w:rsidRDefault="008F122E" w:rsidP="008F122E"/>
    <w:p w:rsidR="008F122E" w:rsidRPr="00AA7880" w:rsidRDefault="008F122E" w:rsidP="008F122E">
      <w:r>
        <w:tab/>
      </w:r>
      <w:r>
        <w:rPr>
          <w:rStyle w:val="BillHeading2"/>
        </w:rPr>
        <w:t xml:space="preserve">Be It Enacted </w:t>
      </w:r>
      <w:r>
        <w:rPr>
          <w:rStyle w:val="BillLanguage"/>
        </w:rPr>
        <w:t>by the Senate and General Assembly of the State of New Jersey:</w:t>
      </w:r>
    </w:p>
    <w:p w:rsidR="008F122E" w:rsidRDefault="008F122E" w:rsidP="008F122E"/>
    <w:p w:rsidR="000D7105" w:rsidRPr="00C16642" w:rsidRDefault="000D7105" w:rsidP="000D7105">
      <w:r>
        <w:tab/>
      </w:r>
      <w:r w:rsidRPr="00C16642">
        <w:t>1.</w:t>
      </w:r>
      <w:r w:rsidRPr="00C16642">
        <w:tab/>
        <w:t>As used in this act:</w:t>
      </w:r>
    </w:p>
    <w:p w:rsidR="000D7105" w:rsidRPr="00324C5C" w:rsidRDefault="000D7105" w:rsidP="000D7105">
      <w:pPr>
        <w:spacing w:line="360" w:lineRule="atLeast"/>
        <w:rPr>
          <w:color w:val="000000"/>
        </w:rPr>
      </w:pPr>
      <w:r w:rsidRPr="00C16642">
        <w:tab/>
      </w:r>
      <w:r w:rsidRPr="00324C5C">
        <w:rPr>
          <w:color w:val="000000"/>
        </w:rPr>
        <w:t>"Copper action level" means the standard for copper in drinking water established by the United States Environmental Protection Agency, or a more stringent standard adopted by the department pursuant to the "Safe Drinking Water Act," P.L.1977, c.224 (C.58:12A-1 et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al.</w:t>
      </w:r>
      <w:r w:rsidRPr="00324C5C">
        <w:rPr>
          <w:rFonts w:ascii="Albertus Extra Bold" w:hAnsi="Albertus Extra Bold"/>
          <w:b/>
          <w:bCs/>
          <w:color w:val="000000"/>
        </w:rPr>
        <w:t>]</w:t>
      </w:r>
      <w:r w:rsidRPr="00324C5C">
        <w:rPr>
          <w:color w:val="000000"/>
        </w:rPr>
        <w:t> </w:t>
      </w:r>
      <w:r w:rsidRPr="00324C5C">
        <w:rPr>
          <w:color w:val="000000"/>
          <w:u w:val="single"/>
        </w:rPr>
        <w:t>seq.</w:t>
      </w:r>
      <w:r w:rsidRPr="00324C5C">
        <w:rPr>
          <w:rFonts w:ascii="Albertus Extra Bold" w:hAnsi="Albertus Extra Bold"/>
          <w:b/>
          <w:bCs/>
          <w:color w:val="000000"/>
          <w:vertAlign w:val="superscript"/>
        </w:rPr>
        <w:t>1</w:t>
      </w:r>
      <w:r w:rsidRPr="00324C5C">
        <w:rPr>
          <w:color w:val="000000"/>
        </w:rPr>
        <w:t>).</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rFonts w:ascii="Albertus Extra Bold" w:hAnsi="Albertus Extra Bold"/>
          <w:b/>
          <w:bCs/>
          <w:color w:val="000000"/>
          <w:vertAlign w:val="superscript"/>
        </w:rPr>
        <w:t>1</w:t>
      </w:r>
      <w:r w:rsidRPr="00324C5C">
        <w:rPr>
          <w:color w:val="000000"/>
          <w:u w:val="single"/>
        </w:rPr>
        <w:t>"Customer" means a residential or commercial customer of record and, if known to the public water system, any residential tenant of a multifamily residence having two or more units where the landlord of that residence is a non-residential customer of reco</w:t>
      </w:r>
      <w:r>
        <w:rPr>
          <w:color w:val="000000"/>
          <w:u w:val="single"/>
        </w:rPr>
        <w:t>rd.</w:t>
      </w:r>
      <w:r w:rsidRPr="00324C5C">
        <w:rPr>
          <w:color w:val="000000"/>
          <w:u w:val="single"/>
        </w:rPr>
        <w:t xml:space="preserve"> “Customer” shall include all schools, daycare centers, and facilities serving young children, all public and private hospitals, medical clinics, and doctor’s offices serving pregnant women and young children, all local health and welfare agencies in the public water system's service area, and the offices of the chief executive officer of each municipality in the public water system's service area.</w:t>
      </w:r>
    </w:p>
    <w:p w:rsidR="000D7105" w:rsidRDefault="000D7105" w:rsidP="000D7105">
      <w:pPr>
        <w:tabs>
          <w:tab w:val="clear" w:pos="720"/>
          <w:tab w:val="clear" w:pos="1440"/>
          <w:tab w:val="clear" w:pos="2160"/>
          <w:tab w:val="clear" w:pos="2880"/>
          <w:tab w:val="clear" w:pos="3600"/>
          <w:tab w:val="clear" w:pos="4320"/>
        </w:tabs>
        <w:spacing w:line="360" w:lineRule="atLeast"/>
        <w:ind w:firstLine="360"/>
        <w:rPr>
          <w:color w:val="000000"/>
          <w:u w:val="single"/>
        </w:rPr>
      </w:pPr>
      <w:r w:rsidRPr="00324C5C">
        <w:rPr>
          <w:color w:val="000000"/>
          <w:u w:val="single"/>
        </w:rPr>
        <w:t>“Department” means the Departme</w:t>
      </w:r>
      <w:r>
        <w:rPr>
          <w:color w:val="000000"/>
          <w:u w:val="single"/>
        </w:rPr>
        <w:t>nt of Environmental Protection.</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u w:val="single"/>
        </w:rPr>
        <w:t>"Landlord" means the same as that term is defined in section 2 of P.L.1975, c.310 (C.46:8-44).</w:t>
      </w:r>
      <w:r w:rsidRPr="00324C5C">
        <w:rPr>
          <w:rFonts w:ascii="Albertus Extra Bold" w:hAnsi="Albertus Extra Bold"/>
          <w:b/>
          <w:bCs/>
          <w:color w:val="000000"/>
          <w:vertAlign w:val="superscript"/>
        </w:rPr>
        <w:t>1</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"Lead action level" means the standard for lead in drinking water established by the United States Environmental Protection Agency, or a more stringent standard adopted by the department pursuant to the "Safe Drinking Water Act," P.L.1977, c.224 (C.58:12A-1 et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al.</w:t>
      </w:r>
      <w:r w:rsidRPr="00324C5C">
        <w:rPr>
          <w:rFonts w:ascii="Albertus Extra Bold" w:hAnsi="Albertus Extra Bold"/>
          <w:b/>
          <w:bCs/>
          <w:color w:val="000000"/>
        </w:rPr>
        <w:t>]</w:t>
      </w:r>
      <w:r w:rsidRPr="00324C5C">
        <w:rPr>
          <w:color w:val="000000"/>
        </w:rPr>
        <w:t> </w:t>
      </w:r>
      <w:r w:rsidRPr="00324C5C">
        <w:rPr>
          <w:color w:val="000000"/>
          <w:u w:val="single"/>
        </w:rPr>
        <w:t>seq.</w:t>
      </w:r>
      <w:r w:rsidRPr="00324C5C">
        <w:rPr>
          <w:rFonts w:ascii="Albertus Extra Bold" w:hAnsi="Albertus Extra Bold"/>
          <w:b/>
          <w:bCs/>
          <w:color w:val="000000"/>
          <w:vertAlign w:val="superscript"/>
        </w:rPr>
        <w:t>1</w:t>
      </w:r>
      <w:r w:rsidRPr="00324C5C">
        <w:rPr>
          <w:color w:val="000000"/>
        </w:rPr>
        <w:t>).</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rFonts w:ascii="Albertus Extra Bold" w:hAnsi="Albertus Extra Bold"/>
          <w:b/>
          <w:bCs/>
          <w:color w:val="000000"/>
          <w:vertAlign w:val="superscript"/>
        </w:rPr>
        <w:t>1</w:t>
      </w:r>
      <w:r w:rsidRPr="00324C5C">
        <w:rPr>
          <w:color w:val="000000"/>
          <w:u w:val="single"/>
        </w:rPr>
        <w:t>“Lead service line” means a water supply connection that is made of, or lined with a material consisting of, lead and connects a water main to a building inlet. A lead pigtail, lead gooseneck, or other lead fitting shall be considered a lead service line, regardless of the service line material. A galvanized service line or a service line of unknown material shall be considered a lead service line. A lead service line may be owned by a public water system, a property owner, or both.</w:t>
      </w:r>
      <w:r w:rsidRPr="00324C5C">
        <w:rPr>
          <w:rFonts w:ascii="Albertus Extra Bold" w:hAnsi="Albertus Extra Bold"/>
          <w:b/>
          <w:bCs/>
          <w:color w:val="000000"/>
          <w:vertAlign w:val="superscript"/>
        </w:rPr>
        <w:t>1</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"Partial service line replacement" means the replacement of some, but not all, of the </w:t>
      </w:r>
      <w:r w:rsidRPr="00324C5C">
        <w:rPr>
          <w:rFonts w:ascii="Albertus Extra Bold" w:hAnsi="Albertus Extra Bold"/>
          <w:b/>
          <w:bCs/>
          <w:color w:val="000000"/>
          <w:vertAlign w:val="superscript"/>
        </w:rPr>
        <w:t>1</w:t>
      </w:r>
      <w:r w:rsidRPr="00324C5C">
        <w:rPr>
          <w:color w:val="000000"/>
          <w:u w:val="single"/>
        </w:rPr>
        <w:t>lead service line, including any portion of the</w:t>
      </w:r>
      <w:r w:rsidRPr="00324C5C">
        <w:rPr>
          <w:rFonts w:ascii="Albertus Extra Bold" w:hAnsi="Albertus Extra Bold"/>
          <w:b/>
          <w:bCs/>
          <w:color w:val="000000"/>
          <w:vertAlign w:val="superscript"/>
        </w:rPr>
        <w:t>1</w:t>
      </w:r>
      <w:r w:rsidRPr="00324C5C">
        <w:rPr>
          <w:color w:val="000000"/>
        </w:rPr>
        <w:t> pipe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 tubing, and fittings</w:t>
      </w:r>
      <w:r w:rsidRPr="00324C5C">
        <w:rPr>
          <w:rFonts w:ascii="Albertus Extra Bold" w:hAnsi="Albertus Extra Bold"/>
          <w:b/>
          <w:bCs/>
          <w:color w:val="000000"/>
        </w:rPr>
        <w:t>]</w:t>
      </w:r>
      <w:r w:rsidRPr="00324C5C">
        <w:rPr>
          <w:rFonts w:ascii="Albertus Extra Bold" w:hAnsi="Albertus Extra Bold"/>
          <w:b/>
          <w:bCs/>
          <w:color w:val="000000"/>
          <w:vertAlign w:val="superscript"/>
        </w:rPr>
        <w:t>1</w:t>
      </w:r>
      <w:r w:rsidRPr="00324C5C">
        <w:rPr>
          <w:color w:val="000000"/>
        </w:rPr>
        <w:t> connecting a water main to an individual water meter or service connection.</w:t>
      </w:r>
    </w:p>
    <w:p w:rsidR="000D7105" w:rsidRDefault="000D7105" w:rsidP="000D7105"/>
    <w:p w:rsidR="000D7105" w:rsidRPr="00324C5C" w:rsidRDefault="000D7105" w:rsidP="000D7105">
      <w:pPr>
        <w:spacing w:line="360" w:lineRule="atLeast"/>
        <w:rPr>
          <w:color w:val="000000"/>
        </w:rPr>
      </w:pPr>
      <w:r>
        <w:tab/>
      </w:r>
      <w:r w:rsidRPr="00C16642">
        <w:t>2.</w:t>
      </w:r>
      <w:r w:rsidRPr="00C16642">
        <w:tab/>
      </w:r>
      <w:r>
        <w:rPr>
          <w:color w:val="000000"/>
        </w:rPr>
        <w:t xml:space="preserve">a.  </w:t>
      </w:r>
      <w:r w:rsidRPr="00324C5C">
        <w:rPr>
          <w:rFonts w:ascii="Albertus Extra Bold" w:hAnsi="Albertus Extra Bold"/>
          <w:b/>
          <w:bCs/>
          <w:color w:val="000000"/>
          <w:vertAlign w:val="superscript"/>
        </w:rPr>
        <w:t>1</w:t>
      </w:r>
      <w:r w:rsidRPr="00324C5C">
        <w:rPr>
          <w:color w:val="000000"/>
          <w:u w:val="single"/>
        </w:rPr>
        <w:t>(1)</w:t>
      </w:r>
      <w:r w:rsidRPr="00324C5C">
        <w:rPr>
          <w:rFonts w:ascii="Albertus Extra Bold" w:hAnsi="Albertus Extra Bold"/>
          <w:b/>
          <w:bCs/>
          <w:color w:val="000000"/>
          <w:vertAlign w:val="superscript"/>
        </w:rPr>
        <w:t>1</w:t>
      </w:r>
      <w:r>
        <w:rPr>
          <w:color w:val="000000"/>
        </w:rPr>
        <w:t xml:space="preserve">  </w:t>
      </w:r>
      <w:r w:rsidRPr="00324C5C">
        <w:rPr>
          <w:color w:val="000000"/>
        </w:rPr>
        <w:t>A public water system that exceeds the lead action level or the copper action level shall, upon request by a customer, test the customer's drinking water for the presence of lead and copper, </w:t>
      </w:r>
      <w:r w:rsidRPr="00324C5C">
        <w:rPr>
          <w:rFonts w:ascii="Albertus Extra Bold" w:hAnsi="Albertus Extra Bold"/>
          <w:b/>
          <w:bCs/>
          <w:color w:val="000000"/>
          <w:vertAlign w:val="superscript"/>
        </w:rPr>
        <w:t>1</w:t>
      </w:r>
      <w:r w:rsidRPr="00324C5C">
        <w:rPr>
          <w:color w:val="000000"/>
          <w:u w:val="single"/>
        </w:rPr>
        <w:t>whichever level was exceeded, for the duration of the action level exceedance,</w:t>
      </w:r>
      <w:r w:rsidRPr="00324C5C">
        <w:rPr>
          <w:rFonts w:ascii="Albertus Extra Bold" w:hAnsi="Albertus Extra Bold"/>
          <w:b/>
          <w:bCs/>
          <w:color w:val="000000"/>
          <w:vertAlign w:val="superscript"/>
        </w:rPr>
        <w:t>1</w:t>
      </w:r>
      <w:r w:rsidRPr="00324C5C">
        <w:rPr>
          <w:color w:val="000000"/>
        </w:rPr>
        <w:t> using a laboratory certified for that purpose by the department. </w:t>
      </w:r>
      <w:r w:rsidRPr="00324C5C">
        <w:rPr>
          <w:rFonts w:ascii="Albertus Extra Bold" w:hAnsi="Albertus Extra Bold"/>
          <w:b/>
          <w:bCs/>
          <w:color w:val="000000"/>
          <w:vertAlign w:val="superscript"/>
        </w:rPr>
        <w:t>1</w:t>
      </w:r>
      <w:r w:rsidRPr="00324C5C">
        <w:rPr>
          <w:color w:val="000000"/>
          <w:u w:val="single"/>
        </w:rPr>
        <w:t>Within 60 days after the public water system is deemed not to exceed the lead action level or the copper action level, a public water system shall, upon request by a customer, test the customer's drinking water for the presence of lead and copper. If a test shows that the lead action level was exceeded, the public water system shall, upon request by a customer, test the customer's drinking water every 60 days for the presence of lead until the public water system is deemed not to exceed the lead action level or until two consecutive tests show that the lead action level was not exceeded.</w:t>
      </w:r>
    </w:p>
    <w:p w:rsidR="000D7105" w:rsidRPr="00324C5C" w:rsidRDefault="000D7105" w:rsidP="000D7105">
      <w:pPr>
        <w:tabs>
          <w:tab w:val="clear" w:pos="720"/>
          <w:tab w:val="clear" w:pos="1440"/>
          <w:tab w:val="clear" w:pos="2160"/>
          <w:tab w:val="clear" w:pos="2880"/>
          <w:tab w:val="clear" w:pos="3600"/>
          <w:tab w:val="clear" w:pos="4320"/>
          <w:tab w:val="clear" w:pos="5040"/>
          <w:tab w:val="left" w:pos="900"/>
        </w:tabs>
        <w:spacing w:line="360" w:lineRule="atLeast"/>
        <w:ind w:firstLine="360"/>
        <w:rPr>
          <w:color w:val="000000"/>
        </w:rPr>
      </w:pPr>
      <w:r w:rsidRPr="00324C5C">
        <w:rPr>
          <w:color w:val="000000"/>
          <w:u w:val="single"/>
        </w:rPr>
        <w:t>(2)</w:t>
      </w:r>
      <w:r w:rsidRPr="00324C5C">
        <w:rPr>
          <w:rFonts w:ascii="Albertus Extra Bold" w:hAnsi="Albertus Extra Bold"/>
          <w:b/>
          <w:bCs/>
          <w:color w:val="000000"/>
          <w:vertAlign w:val="superscript"/>
        </w:rPr>
        <w:t>1</w:t>
      </w:r>
      <w:r>
        <w:t xml:space="preserve"> </w:t>
      </w:r>
      <w:r w:rsidRPr="00324C5C">
        <w:rPr>
          <w:color w:val="000000"/>
        </w:rPr>
        <w:t>The results of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the</w:t>
      </w:r>
      <w:r w:rsidRPr="00324C5C">
        <w:rPr>
          <w:rFonts w:ascii="Albertus Extra Bold" w:hAnsi="Albertus Extra Bold"/>
          <w:b/>
          <w:bCs/>
          <w:color w:val="000000"/>
        </w:rPr>
        <w:t>]</w:t>
      </w:r>
      <w:r w:rsidRPr="00324C5C">
        <w:rPr>
          <w:color w:val="000000"/>
        </w:rPr>
        <w:t> </w:t>
      </w:r>
      <w:r w:rsidRPr="00324C5C">
        <w:rPr>
          <w:color w:val="000000"/>
          <w:u w:val="single"/>
        </w:rPr>
        <w:t>every</w:t>
      </w:r>
      <w:r w:rsidRPr="00324C5C">
        <w:rPr>
          <w:rFonts w:ascii="Albertus Extra Bold" w:hAnsi="Albertus Extra Bold"/>
          <w:b/>
          <w:bCs/>
          <w:color w:val="000000"/>
          <w:vertAlign w:val="superscript"/>
        </w:rPr>
        <w:t>1</w:t>
      </w:r>
      <w:r w:rsidRPr="00324C5C">
        <w:rPr>
          <w:color w:val="000000"/>
        </w:rPr>
        <w:t> test </w:t>
      </w:r>
      <w:r w:rsidRPr="00324C5C">
        <w:rPr>
          <w:rFonts w:ascii="Albertus Extra Bold" w:hAnsi="Albertus Extra Bold"/>
          <w:b/>
          <w:bCs/>
          <w:color w:val="000000"/>
          <w:vertAlign w:val="superscript"/>
        </w:rPr>
        <w:t>1</w:t>
      </w:r>
      <w:r w:rsidRPr="00324C5C">
        <w:rPr>
          <w:color w:val="000000"/>
          <w:u w:val="single"/>
        </w:rPr>
        <w:t>authorized pursuant to this subsection</w:t>
      </w:r>
      <w:r w:rsidRPr="00324C5C">
        <w:rPr>
          <w:rFonts w:ascii="Albertus Extra Bold" w:hAnsi="Albertus Extra Bold"/>
          <w:b/>
          <w:bCs/>
          <w:color w:val="000000"/>
          <w:vertAlign w:val="superscript"/>
        </w:rPr>
        <w:t>1</w:t>
      </w:r>
      <w:r w:rsidRPr="00324C5C">
        <w:rPr>
          <w:color w:val="000000"/>
        </w:rPr>
        <w:t> shall be provided to the customer.</w:t>
      </w:r>
    </w:p>
    <w:p w:rsidR="000D7105" w:rsidRPr="00324C5C" w:rsidRDefault="000D7105" w:rsidP="000D7105">
      <w:pPr>
        <w:tabs>
          <w:tab w:val="clear" w:pos="288"/>
          <w:tab w:val="clear" w:pos="720"/>
          <w:tab w:val="clear" w:pos="1440"/>
          <w:tab w:val="clear" w:pos="2160"/>
          <w:tab w:val="clear" w:pos="2880"/>
          <w:tab w:val="clear" w:pos="3600"/>
          <w:tab w:val="clear" w:pos="4320"/>
          <w:tab w:val="clear" w:pos="5040"/>
          <w:tab w:val="left" w:pos="450"/>
          <w:tab w:val="left" w:pos="900"/>
        </w:tabs>
        <w:spacing w:line="360" w:lineRule="atLeast"/>
        <w:ind w:firstLine="360"/>
        <w:rPr>
          <w:color w:val="000000"/>
        </w:rPr>
      </w:pPr>
      <w:r w:rsidRPr="00324C5C">
        <w:rPr>
          <w:rFonts w:ascii="Albertus Extra Bold" w:hAnsi="Albertus Extra Bold"/>
          <w:b/>
          <w:bCs/>
          <w:color w:val="000000"/>
          <w:vertAlign w:val="superscript"/>
        </w:rPr>
        <w:t>1</w:t>
      </w:r>
      <w:r>
        <w:rPr>
          <w:color w:val="000000"/>
          <w:u w:val="single"/>
        </w:rPr>
        <w:t xml:space="preserve">(3) </w:t>
      </w:r>
      <w:r w:rsidRPr="00324C5C">
        <w:rPr>
          <w:color w:val="000000"/>
          <w:u w:val="single"/>
        </w:rPr>
        <w:t>When a landlord receives the results of test provided pursuant to paragraph (2) of this subsection, the landlord shall:</w:t>
      </w:r>
    </w:p>
    <w:p w:rsidR="000D7105" w:rsidRPr="00324C5C" w:rsidRDefault="000D7105" w:rsidP="000D7105">
      <w:pPr>
        <w:tabs>
          <w:tab w:val="clear" w:pos="720"/>
          <w:tab w:val="clear" w:pos="1440"/>
          <w:tab w:val="clear" w:pos="2160"/>
          <w:tab w:val="clear" w:pos="2880"/>
          <w:tab w:val="clear" w:pos="3600"/>
          <w:tab w:val="clear" w:pos="4320"/>
          <w:tab w:val="clear" w:pos="5040"/>
          <w:tab w:val="left" w:pos="900"/>
        </w:tabs>
        <w:spacing w:line="360" w:lineRule="atLeast"/>
        <w:ind w:firstLine="360"/>
        <w:rPr>
          <w:color w:val="000000"/>
        </w:rPr>
      </w:pPr>
      <w:r w:rsidRPr="00324C5C">
        <w:rPr>
          <w:color w:val="000000"/>
          <w:u w:val="single"/>
        </w:rPr>
        <w:t>(a)</w:t>
      </w:r>
      <w:r>
        <w:rPr>
          <w:color w:val="000000"/>
          <w:u w:val="single"/>
        </w:rPr>
        <w:t xml:space="preserve">  </w:t>
      </w:r>
      <w:r w:rsidRPr="00324C5C">
        <w:rPr>
          <w:color w:val="000000"/>
          <w:u w:val="single"/>
        </w:rPr>
        <w:t>distribute, by any means including by electronic mail, the notice of the results as soon as practicable, but no later than three business days after receipt, to every tenant who has entered into a lease agreement with the landlord and whose dwelling unit is served by the public water system; and</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Pr>
          <w:color w:val="000000"/>
          <w:u w:val="single"/>
        </w:rPr>
        <w:t xml:space="preserve">(b) </w:t>
      </w:r>
      <w:r w:rsidRPr="00324C5C">
        <w:rPr>
          <w:color w:val="000000"/>
          <w:u w:val="single"/>
        </w:rPr>
        <w:t xml:space="preserve"> post the notice of the results, as soon as practicable, but no later than three business days after receipt, in a prominent location at the entrance of each rental premises that is owned by the landlord and served by the public water system, except that this requirement shall not apply in the case of single-family dwellings that do not have a common </w:t>
      </w:r>
      <w:proofErr w:type="spellStart"/>
      <w:r w:rsidRPr="00324C5C">
        <w:rPr>
          <w:color w:val="000000"/>
          <w:u w:val="single"/>
        </w:rPr>
        <w:t>area.The</w:t>
      </w:r>
      <w:proofErr w:type="spellEnd"/>
      <w:r w:rsidRPr="00324C5C">
        <w:rPr>
          <w:color w:val="000000"/>
          <w:u w:val="single"/>
        </w:rPr>
        <w:t xml:space="preserve"> requirements of this paragraph shall not apply to a landlord when a tenant is a direct customer of the public water system and is billed directly by the public water system.</w:t>
      </w:r>
      <w:r w:rsidRPr="00324C5C">
        <w:rPr>
          <w:rFonts w:ascii="Albertus Extra Bold" w:hAnsi="Albertus Extra Bold"/>
          <w:b/>
          <w:bCs/>
          <w:color w:val="000000"/>
          <w:vertAlign w:val="superscript"/>
        </w:rPr>
        <w:t>1</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b.</w:t>
      </w:r>
      <w:r>
        <w:rPr>
          <w:color w:val="000000"/>
        </w:rPr>
        <w:t xml:space="preserve">  </w:t>
      </w:r>
      <w:r w:rsidRPr="00324C5C">
        <w:rPr>
          <w:color w:val="000000"/>
        </w:rPr>
        <w:t>A customer who requests a test pursuant to this section shall not be charged a fee by the public water system for the test.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c.</w:t>
      </w:r>
      <w:r>
        <w:rPr>
          <w:color w:val="000000"/>
        </w:rPr>
        <w:t xml:space="preserve">  </w:t>
      </w:r>
      <w:r w:rsidRPr="00324C5C">
        <w:rPr>
          <w:color w:val="000000"/>
        </w:rPr>
        <w:t>A public water system that exceeds the lead action level or the copper action level shall include a notification on each customer's water bill, which clearly states the availability of water testing pursuant to this section.</w:t>
      </w:r>
      <w:r>
        <w:rPr>
          <w:color w:val="000000"/>
        </w:rPr>
        <w:t xml:space="preserve"> </w:t>
      </w:r>
      <w:r w:rsidRPr="00324C5C">
        <w:rPr>
          <w:rFonts w:ascii="Albertus Extra Bold" w:hAnsi="Albertus Extra Bold"/>
          <w:b/>
          <w:bCs/>
          <w:color w:val="000000"/>
          <w:vertAlign w:val="superscript"/>
        </w:rPr>
        <w:t>1</w:t>
      </w:r>
      <w:r w:rsidRPr="00324C5C">
        <w:rPr>
          <w:color w:val="000000"/>
          <w:u w:val="single"/>
        </w:rPr>
        <w:t>If a landlord receives a notification under this subsection, the landlord shall distribute and post the notification and any relevant information to every tenant who has entered into a lease agreement with the landlord and whose dwelling unit is served by the public water system in the same manner as provided in paragraph (2) of subsection a. of this section.</w:t>
      </w:r>
      <w:r w:rsidRPr="00324C5C">
        <w:rPr>
          <w:rFonts w:ascii="Albertus Extra Bold" w:hAnsi="Albertus Extra Bold"/>
          <w:b/>
          <w:bCs/>
          <w:color w:val="000000"/>
          <w:vertAlign w:val="superscript"/>
        </w:rPr>
        <w:t>1</w:t>
      </w:r>
    </w:p>
    <w:p w:rsidR="008F122E" w:rsidRDefault="008F122E" w:rsidP="008F122E"/>
    <w:p w:rsidR="008F122E" w:rsidRDefault="008F122E" w:rsidP="008F122E">
      <w:r>
        <w:tab/>
        <w:t>3.</w:t>
      </w:r>
      <w:r>
        <w:tab/>
        <w:t>a.  A public water system that carries out a partial service line replacement of a lead service line serving a customer shall, upon receiving a request no later than six months after the completion of the replacement, test the customer's drinking water for the presence of lead, using</w:t>
      </w:r>
      <w:r w:rsidRPr="003400E0">
        <w:t xml:space="preserve"> a laboratory that has been certified</w:t>
      </w:r>
      <w:r>
        <w:t xml:space="preserve"> for that purpose</w:t>
      </w:r>
      <w:r w:rsidRPr="003400E0">
        <w:t xml:space="preserve"> by the </w:t>
      </w:r>
      <w:r>
        <w:t>department</w:t>
      </w:r>
      <w:r w:rsidRPr="003400E0">
        <w:t>.</w:t>
      </w:r>
      <w:r>
        <w:t xml:space="preserve">  The results of the test shall be provided to the customer and to the public water system.</w:t>
      </w:r>
    </w:p>
    <w:p w:rsidR="008F122E" w:rsidRDefault="008F122E" w:rsidP="008F122E">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this test</w:t>
      </w:r>
      <w:r w:rsidRPr="007228BA">
        <w:t>.</w:t>
      </w:r>
      <w:r>
        <w:t xml:space="preserve">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8F122E" w:rsidRDefault="008F122E" w:rsidP="008F122E">
      <w:r>
        <w:tab/>
        <w:t>c.</w:t>
      </w:r>
      <w:r>
        <w:tab/>
        <w:t>A public water system that carries out a partial service line replacement of a lead service line serving a customer shall include a notification on the customer's water bill, which clearly states the availability of water testing pursuant to subsection a. of this section.</w:t>
      </w:r>
    </w:p>
    <w:p w:rsidR="008F122E" w:rsidRDefault="008F122E" w:rsidP="008F122E">
      <w:r>
        <w:tab/>
        <w:t>d.</w:t>
      </w:r>
      <w:r>
        <w:tab/>
        <w:t>If a test carried out on a property pursuant to this section reveals that the water exceeds the lead action level, the public water system shall provide a written notice by mail of this fact to the chief executive of the municipality in which the property is located and all local health agencies in the municipality in which the property is located.</w:t>
      </w:r>
    </w:p>
    <w:p w:rsidR="008F122E" w:rsidRDefault="008F122E" w:rsidP="008F122E"/>
    <w:p w:rsidR="008F122E" w:rsidRPr="00F8036F" w:rsidRDefault="008F122E" w:rsidP="002A540E">
      <w:pPr>
        <w:rPr>
          <w:color w:val="000000"/>
        </w:rPr>
      </w:pPr>
      <w:r>
        <w:tab/>
        <w:t>4.</w:t>
      </w:r>
      <w:r>
        <w:tab/>
        <w:t>This act</w:t>
      </w:r>
      <w:r w:rsidR="002A540E">
        <w:t xml:space="preserve"> shall take effect immediately.</w:t>
      </w:r>
    </w:p>
    <w:sectPr w:rsidR="008F122E" w:rsidRPr="00F8036F" w:rsidSect="0014736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E9" w:rsidRDefault="009B33E9">
      <w:r>
        <w:separator/>
      </w:r>
    </w:p>
  </w:endnote>
  <w:endnote w:type="continuationSeparator" w:id="0">
    <w:p w:rsidR="009B33E9" w:rsidRDefault="009B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63" w:rsidRDefault="00E718C6" w:rsidP="00E718C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105" w:rsidRPr="00921C91" w:rsidRDefault="000D71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7105" w:rsidRPr="00921C91" w:rsidRDefault="000D7105">
    <w:pPr>
      <w:pStyle w:val="Footer"/>
      <w:rPr>
        <w:szCs w:val="18"/>
      </w:rPr>
    </w:pPr>
  </w:p>
  <w:p w:rsidR="000D7105" w:rsidRPr="00921C91" w:rsidRDefault="000D71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7105" w:rsidRDefault="000D7105">
    <w:pPr>
      <w:pStyle w:val="Footer"/>
    </w:pPr>
    <w:r>
      <w:tab/>
      <w:t>Matter enclosed in superscript numerals has been adopted as follows:</w:t>
    </w:r>
  </w:p>
  <w:p w:rsidR="000D7105" w:rsidRDefault="000D710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24, 2021.</w:t>
    </w:r>
  </w:p>
  <w:p w:rsidR="000D7105" w:rsidRPr="000D7105" w:rsidRDefault="000D710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E9" w:rsidRDefault="009B33E9">
      <w:r>
        <w:separator/>
      </w:r>
    </w:p>
  </w:footnote>
  <w:footnote w:type="continuationSeparator" w:id="0">
    <w:p w:rsidR="009B33E9" w:rsidRDefault="009B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53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36D" w:rsidRDefault="0014736D" w:rsidP="0014736D">
    <w:pPr>
      <w:pStyle w:val="bpuHeadSpon"/>
    </w:pPr>
    <w:r w:rsidRPr="0014736D">
      <w:rPr>
        <w:rStyle w:val="bpuHeadSponChar"/>
      </w:rPr>
      <w:t>S830</w:t>
    </w:r>
    <w:r>
      <w:t xml:space="preserve"> </w:t>
    </w:r>
    <w:r w:rsidR="000D7105">
      <w:t xml:space="preserve">[1R] </w:t>
    </w:r>
    <w:r>
      <w:t>LAGANA, GREENSTEIN</w:t>
    </w:r>
  </w:p>
  <w:p w:rsidR="0014736D" w:rsidRDefault="0014736D" w:rsidP="0014736D">
    <w:pPr>
      <w:pStyle w:val="bpuHeadSpon"/>
    </w:pPr>
    <w:r>
      <w:fldChar w:fldCharType="begin"/>
    </w:r>
    <w:r>
      <w:instrText xml:space="preserve"> PAGE  \* MERGEFORMAT </w:instrText>
    </w:r>
    <w:r>
      <w:fldChar w:fldCharType="separate"/>
    </w:r>
    <w:r w:rsidR="00707FC0">
      <w:rPr>
        <w:noProof/>
      </w:rPr>
      <w:t>4</w:t>
    </w:r>
    <w:r>
      <w:fldChar w:fldCharType="end"/>
    </w:r>
  </w:p>
  <w:p w:rsidR="0014736D" w:rsidRPr="00AF575C" w:rsidRDefault="0014736D" w:rsidP="001473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736D" w:rsidRDefault="0014736D" w:rsidP="0014736D">
    <w:pPr>
      <w:pStyle w:val="bpuHeadSpon"/>
    </w:pPr>
    <w:r w:rsidRPr="0014736D">
      <w:rPr>
        <w:rStyle w:val="bpuHeadSponChar"/>
      </w:rPr>
      <w:t>S830</w:t>
    </w:r>
    <w:r>
      <w:t xml:space="preserve"> </w:t>
    </w:r>
    <w:r w:rsidR="000D7105">
      <w:t xml:space="preserve">[1R] </w:t>
    </w:r>
    <w:r>
      <w:t>LAGANA, GREENSTEIN</w:t>
    </w:r>
  </w:p>
  <w:p w:rsidR="0014736D" w:rsidRDefault="0014736D" w:rsidP="0014736D">
    <w:pPr>
      <w:pStyle w:val="bpuHeadSpon"/>
    </w:pPr>
    <w:r>
      <w:fldChar w:fldCharType="begin"/>
    </w:r>
    <w:r>
      <w:instrText xml:space="preserve"> PAGE  \* MERGEFORMAT </w:instrText>
    </w:r>
    <w:r>
      <w:fldChar w:fldCharType="separate"/>
    </w:r>
    <w:r w:rsidR="00707FC0">
      <w:rPr>
        <w:noProof/>
      </w:rPr>
      <w:t>2</w:t>
    </w:r>
    <w:r>
      <w:fldChar w:fldCharType="end"/>
    </w:r>
  </w:p>
  <w:p w:rsidR="0014736D" w:rsidRDefault="0014736D" w:rsidP="001473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E9"/>
    <w:rsid w:val="00000169"/>
    <w:rsid w:val="00004D4D"/>
    <w:rsid w:val="00007B70"/>
    <w:rsid w:val="00007DDD"/>
    <w:rsid w:val="00010512"/>
    <w:rsid w:val="00011BAB"/>
    <w:rsid w:val="000154F3"/>
    <w:rsid w:val="000203E7"/>
    <w:rsid w:val="00020E5B"/>
    <w:rsid w:val="000219C8"/>
    <w:rsid w:val="00030BB1"/>
    <w:rsid w:val="00035598"/>
    <w:rsid w:val="0003578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105"/>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36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703"/>
    <w:rsid w:val="001F6719"/>
    <w:rsid w:val="001F6DA6"/>
    <w:rsid w:val="00205A9C"/>
    <w:rsid w:val="00214614"/>
    <w:rsid w:val="0022067D"/>
    <w:rsid w:val="00231838"/>
    <w:rsid w:val="00232C5B"/>
    <w:rsid w:val="002373F3"/>
    <w:rsid w:val="002463CF"/>
    <w:rsid w:val="0026254F"/>
    <w:rsid w:val="00266FB9"/>
    <w:rsid w:val="00274341"/>
    <w:rsid w:val="0028159B"/>
    <w:rsid w:val="00296363"/>
    <w:rsid w:val="002A16E7"/>
    <w:rsid w:val="002A540E"/>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DC4"/>
    <w:rsid w:val="004665AA"/>
    <w:rsid w:val="00470114"/>
    <w:rsid w:val="00470ABF"/>
    <w:rsid w:val="00470D5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07B"/>
    <w:rsid w:val="005C0288"/>
    <w:rsid w:val="005C7C01"/>
    <w:rsid w:val="005D28BC"/>
    <w:rsid w:val="005D5980"/>
    <w:rsid w:val="005E5083"/>
    <w:rsid w:val="005F1C6B"/>
    <w:rsid w:val="006005C9"/>
    <w:rsid w:val="00601E45"/>
    <w:rsid w:val="00602497"/>
    <w:rsid w:val="00603129"/>
    <w:rsid w:val="00612255"/>
    <w:rsid w:val="00615CB7"/>
    <w:rsid w:val="006222E7"/>
    <w:rsid w:val="00623CF6"/>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FC0"/>
    <w:rsid w:val="00712CBE"/>
    <w:rsid w:val="00730582"/>
    <w:rsid w:val="00741A09"/>
    <w:rsid w:val="00743AB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22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3E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9D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F76"/>
    <w:rsid w:val="00AF6ECE"/>
    <w:rsid w:val="00B00B00"/>
    <w:rsid w:val="00B034C1"/>
    <w:rsid w:val="00B0560C"/>
    <w:rsid w:val="00B07DA6"/>
    <w:rsid w:val="00B11520"/>
    <w:rsid w:val="00B14011"/>
    <w:rsid w:val="00B14D35"/>
    <w:rsid w:val="00B211F7"/>
    <w:rsid w:val="00B21C53"/>
    <w:rsid w:val="00B23EFE"/>
    <w:rsid w:val="00B24336"/>
    <w:rsid w:val="00B35EC7"/>
    <w:rsid w:val="00B3656D"/>
    <w:rsid w:val="00B7201D"/>
    <w:rsid w:val="00B809B3"/>
    <w:rsid w:val="00B80AFD"/>
    <w:rsid w:val="00B854DC"/>
    <w:rsid w:val="00B90F81"/>
    <w:rsid w:val="00B91BF9"/>
    <w:rsid w:val="00BB2482"/>
    <w:rsid w:val="00BC4545"/>
    <w:rsid w:val="00BD79EC"/>
    <w:rsid w:val="00BE204A"/>
    <w:rsid w:val="00BE26FC"/>
    <w:rsid w:val="00BF23C7"/>
    <w:rsid w:val="00BF5D52"/>
    <w:rsid w:val="00BF7456"/>
    <w:rsid w:val="00C035F3"/>
    <w:rsid w:val="00C078A1"/>
    <w:rsid w:val="00C3401C"/>
    <w:rsid w:val="00C473B8"/>
    <w:rsid w:val="00C603F9"/>
    <w:rsid w:val="00C614C5"/>
    <w:rsid w:val="00C83317"/>
    <w:rsid w:val="00C85EDA"/>
    <w:rsid w:val="00C937A1"/>
    <w:rsid w:val="00C93F56"/>
    <w:rsid w:val="00CB344E"/>
    <w:rsid w:val="00CF2757"/>
    <w:rsid w:val="00CF2761"/>
    <w:rsid w:val="00CF506C"/>
    <w:rsid w:val="00CF602B"/>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8C6"/>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89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76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F4ED38-BC82-48F6-BBF0-8863BB3A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736D"/>
  </w:style>
  <w:style w:type="paragraph" w:styleId="BalloonText">
    <w:name w:val="Balloon Text"/>
    <w:basedOn w:val="Normal"/>
    <w:link w:val="BalloonTextChar"/>
    <w:semiHidden/>
    <w:unhideWhenUsed/>
    <w:rsid w:val="000D71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71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6DFEC-4472-45FD-A15E-3A775C60C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1276</Words>
  <Characters>6489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S830 1R</vt:lpstr>
    </vt:vector>
  </TitlesOfParts>
  <Manager>R224</Manager>
  <Company>OFFICE of LEGISLATIVE SERVICES</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S830 1R</dc:title>
  <dc:creator>Senator  LAGANA, Senator  GREENSTEIN</dc:creator>
  <cp:keywords>S830|4|AU |269|323|147|!||</cp:keywords>
  <dc:description>PREFILED 2020_x000d_
TR DECEMBER 10, 2020_x000d_
Amended 6/24/21</dc:description>
  <cp:lastModifiedBy>Todaro, Vivian</cp:lastModifiedBy>
  <cp:revision>2</cp:revision>
  <cp:lastPrinted>2021-06-28T15:13:00Z</cp:lastPrinted>
  <dcterms:created xsi:type="dcterms:W3CDTF">2021-06-28T15:14:00Z</dcterms:created>
  <dcterms:modified xsi:type="dcterms:W3CDTF">2021-06-28T15:14:00Z</dcterms:modified>
  <cp:category>ss.1-3:C.58-:12A-12.4 ef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