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7A9" w:rsidRDefault="00A2175F" w:rsidP="00CE07A9">
      <w:pPr>
        <w:pStyle w:val="bpuReprint"/>
      </w:pPr>
      <w:bookmarkStart w:id="0" w:name="_GoBack"/>
      <w:bookmarkEnd w:id="0"/>
      <w:r>
        <w:t>[Second Reprint]</w:t>
      </w:r>
    </w:p>
    <w:p w:rsidR="0002374F" w:rsidRDefault="0002374F" w:rsidP="0002374F">
      <w:pPr>
        <w:pStyle w:val="bpuBill"/>
      </w:pPr>
      <w:r>
        <w:t xml:space="preserve">SENATE, No. 908 </w:t>
      </w:r>
    </w:p>
    <w:p w:rsidR="0002374F" w:rsidRPr="009D38FF" w:rsidRDefault="0002374F" w:rsidP="000237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27206" r:id="rId7"/>
        </w:object>
      </w:r>
    </w:p>
    <w:p w:rsidR="0002374F" w:rsidRDefault="0002374F" w:rsidP="0002374F">
      <w:pPr>
        <w:pStyle w:val="bpuState"/>
      </w:pPr>
      <w:r>
        <w:t>STATE OF NEW JERSEY</w:t>
      </w:r>
    </w:p>
    <w:p w:rsidR="0002374F" w:rsidRDefault="0002374F" w:rsidP="0002374F">
      <w:pPr>
        <w:pStyle w:val="bpuLegislature"/>
      </w:pPr>
      <w:r>
        <w:t>219th LEGISLATURE</w:t>
      </w:r>
    </w:p>
    <w:p w:rsidR="0002374F" w:rsidRDefault="0002374F" w:rsidP="0002374F">
      <w:pPr>
        <w:pStyle w:val="bpuWpGraphic"/>
      </w:pPr>
      <w:r>
        <w:object w:dxaOrig="8985" w:dyaOrig="255">
          <v:shape id="_x0000_i1026" type="#_x0000_t75" style="width:6in;height:12pt" o:ole="">
            <v:imagedata r:id="rId6" o:title=""/>
          </v:shape>
          <o:OLEObject Type="Embed" ProgID="WPWin6.1" ShapeID="_x0000_i1026" DrawAspect="Content" ObjectID="_1660127207" r:id="rId8"/>
        </w:object>
      </w:r>
      <w:r>
        <w:t xml:space="preserve">  </w:t>
      </w:r>
    </w:p>
    <w:p w:rsidR="0002374F" w:rsidRDefault="0002374F" w:rsidP="0002374F">
      <w:pPr>
        <w:pStyle w:val="bpuIntro"/>
      </w:pPr>
      <w:r>
        <w:t>INTRODUCED JANUARY 27, 2020</w:t>
      </w:r>
    </w:p>
    <w:p w:rsidR="0002374F" w:rsidRDefault="0002374F" w:rsidP="0002374F">
      <w:pPr>
        <w:pStyle w:val="bpuIntro"/>
      </w:pPr>
    </w:p>
    <w:p w:rsidR="0002374F" w:rsidRDefault="0002374F" w:rsidP="0002374F">
      <w:pPr>
        <w:pStyle w:val="bpuIntro"/>
        <w:sectPr w:rsidR="0002374F" w:rsidSect="0077367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2374F" w:rsidRDefault="0002374F" w:rsidP="0002374F">
      <w:pPr>
        <w:pStyle w:val="bpuIntro"/>
      </w:pPr>
    </w:p>
    <w:p w:rsidR="0002374F" w:rsidRDefault="0002374F" w:rsidP="0002374F">
      <w:pPr>
        <w:pStyle w:val="bpuSponsor"/>
      </w:pPr>
      <w:r>
        <w:t>Sponsored by:</w:t>
      </w:r>
    </w:p>
    <w:p w:rsidR="0002374F" w:rsidRDefault="0002374F" w:rsidP="0002374F">
      <w:pPr>
        <w:pStyle w:val="bpuSponsor"/>
      </w:pPr>
      <w:r>
        <w:t>Senator  TROY SINGLETON</w:t>
      </w:r>
    </w:p>
    <w:p w:rsidR="0002374F" w:rsidRDefault="0002374F" w:rsidP="0002374F">
      <w:pPr>
        <w:pStyle w:val="bpuSponsor"/>
      </w:pPr>
      <w:r>
        <w:t>District 7 (Burlington)</w:t>
      </w:r>
    </w:p>
    <w:p w:rsidR="0002374F" w:rsidRDefault="0002374F" w:rsidP="0002374F">
      <w:pPr>
        <w:pStyle w:val="bpuSponsor"/>
      </w:pPr>
      <w:r>
        <w:t>Senator  STEVEN V. OROHO</w:t>
      </w:r>
    </w:p>
    <w:p w:rsidR="0002374F" w:rsidRDefault="0002374F" w:rsidP="0002374F">
      <w:pPr>
        <w:pStyle w:val="bpuSponsor"/>
      </w:pPr>
      <w:r>
        <w:t>District 24 (Morris, Sussex and Warren)</w:t>
      </w:r>
    </w:p>
    <w:p w:rsidR="0002374F" w:rsidRDefault="00611C0B" w:rsidP="00611C0B">
      <w:pPr>
        <w:pStyle w:val="bpuSponsor"/>
      </w:pPr>
      <w:r>
        <w:t>Assemblywoman  CAROL A. MURPHY</w:t>
      </w:r>
    </w:p>
    <w:p w:rsidR="00611C0B" w:rsidRDefault="00611C0B" w:rsidP="00611C0B">
      <w:pPr>
        <w:pStyle w:val="bpuSponsor"/>
      </w:pPr>
      <w:r>
        <w:t>District 7 (Burlington)</w:t>
      </w:r>
    </w:p>
    <w:p w:rsidR="00611C0B" w:rsidRDefault="00611C0B" w:rsidP="00611C0B">
      <w:pPr>
        <w:pStyle w:val="bpuSponsor"/>
      </w:pPr>
      <w:r>
        <w:t>Assemblyman  HAROLD "HAL" J. WIRTHS</w:t>
      </w:r>
    </w:p>
    <w:p w:rsidR="00611C0B" w:rsidRDefault="00611C0B" w:rsidP="00611C0B">
      <w:pPr>
        <w:pStyle w:val="bpuSponsor"/>
      </w:pPr>
      <w:r>
        <w:t>District 24 (Morris, Sussex and Warren)</w:t>
      </w:r>
    </w:p>
    <w:p w:rsidR="00611C0B" w:rsidRDefault="00611C0B" w:rsidP="00611C0B">
      <w:pPr>
        <w:pStyle w:val="bpuSponsor"/>
      </w:pPr>
      <w:r>
        <w:t>Assemblywoman  HOLLY T. SCHEPISI</w:t>
      </w:r>
    </w:p>
    <w:p w:rsidR="00611C0B" w:rsidRDefault="00611C0B" w:rsidP="00611C0B">
      <w:pPr>
        <w:pStyle w:val="bpuSponsor"/>
      </w:pPr>
      <w:r>
        <w:t>District 39 (Bergen and Passaic)</w:t>
      </w:r>
    </w:p>
    <w:p w:rsidR="00611C0B" w:rsidRPr="00611C0B" w:rsidRDefault="00611C0B" w:rsidP="00611C0B"/>
    <w:p w:rsidR="009B4AD1" w:rsidRDefault="00773674" w:rsidP="00773674">
      <w:pPr>
        <w:pStyle w:val="bpuSponsor"/>
      </w:pPr>
      <w:r>
        <w:t>Co-Sponsored by:</w:t>
      </w:r>
    </w:p>
    <w:p w:rsidR="00773674" w:rsidRPr="00773674" w:rsidRDefault="00773674" w:rsidP="00773674">
      <w:pPr>
        <w:pStyle w:val="bpuSponsor"/>
      </w:pPr>
      <w:r w:rsidRPr="00773674">
        <w:t xml:space="preserve">Senator </w:t>
      </w:r>
      <w:proofErr w:type="spellStart"/>
      <w:r w:rsidRPr="00773674">
        <w:t>O'Scanlon</w:t>
      </w:r>
      <w:proofErr w:type="spellEnd"/>
      <w:r w:rsidRPr="00773674">
        <w:t xml:space="preserve">, Assemblyman Space and Senator </w:t>
      </w:r>
      <w:proofErr w:type="spellStart"/>
      <w:r w:rsidRPr="00773674">
        <w:t>Pou</w:t>
      </w:r>
      <w:proofErr w:type="spellEnd"/>
    </w:p>
    <w:p w:rsidR="00611C0B" w:rsidRDefault="00611C0B" w:rsidP="009B4AD1"/>
    <w:p w:rsidR="00773674" w:rsidRPr="009B4AD1" w:rsidRDefault="00773674" w:rsidP="009B4AD1"/>
    <w:p w:rsidR="0002374F" w:rsidRDefault="0002374F" w:rsidP="0002374F">
      <w:pPr>
        <w:pStyle w:val="bpuSponsor"/>
      </w:pPr>
    </w:p>
    <w:p w:rsidR="0002374F" w:rsidRDefault="0002374F" w:rsidP="0002374F">
      <w:pPr>
        <w:pStyle w:val="bpuSponsor"/>
      </w:pPr>
    </w:p>
    <w:p w:rsidR="0002374F" w:rsidRDefault="0002374F" w:rsidP="0002374F">
      <w:pPr>
        <w:pStyle w:val="bpuSponsor"/>
      </w:pPr>
      <w:r>
        <w:t>SYNOPSIS</w:t>
      </w:r>
    </w:p>
    <w:p w:rsidR="0002374F" w:rsidRDefault="0002374F" w:rsidP="0002374F">
      <w:pPr>
        <w:pStyle w:val="bpuNormText"/>
      </w:pPr>
      <w:r>
        <w:tab/>
      </w:r>
      <w:r w:rsidR="00CE07A9" w:rsidRPr="00B36328">
        <w:t>Clarifies association assessment payment requirements in planned real estate developments.</w:t>
      </w:r>
    </w:p>
    <w:p w:rsidR="0002374F" w:rsidRDefault="0002374F" w:rsidP="0002374F">
      <w:pPr>
        <w:pStyle w:val="bpuNormText"/>
      </w:pPr>
    </w:p>
    <w:p w:rsidR="0002374F" w:rsidRDefault="0002374F" w:rsidP="0002374F">
      <w:pPr>
        <w:pStyle w:val="bpuSponsor"/>
      </w:pPr>
      <w:r>
        <w:t xml:space="preserve">CURRENT VERSION OF TEXT </w:t>
      </w:r>
    </w:p>
    <w:p w:rsidR="0002374F" w:rsidRDefault="00A2175F" w:rsidP="0002374F">
      <w:pPr>
        <w:pStyle w:val="bpuNormText"/>
      </w:pPr>
      <w:r>
        <w:tab/>
        <w:t>As amended on August 27, 2020 by the Senate pursuant to the Governor's recommendations.</w:t>
      </w:r>
    </w:p>
    <w:p w:rsidR="0002374F" w:rsidRDefault="0002374F" w:rsidP="000237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374F" w:rsidRDefault="0002374F" w:rsidP="008916EC">
      <w:pPr>
        <w:pStyle w:val="FronterPage"/>
        <w:tabs>
          <w:tab w:val="clear" w:pos="720"/>
          <w:tab w:val="clear" w:pos="1440"/>
          <w:tab w:val="clear" w:pos="2160"/>
          <w:tab w:val="clear" w:pos="2880"/>
          <w:tab w:val="clear" w:pos="3600"/>
          <w:tab w:val="clear" w:pos="4320"/>
          <w:tab w:val="clear" w:pos="5040"/>
        </w:tabs>
        <w:sectPr w:rsidR="0002374F" w:rsidSect="0002374F">
          <w:type w:val="continuous"/>
          <w:pgSz w:w="12240" w:h="20160" w:code="5"/>
          <w:pgMar w:top="1440" w:right="2275" w:bottom="1440" w:left="2275" w:header="72" w:footer="720" w:gutter="0"/>
          <w:pgNumType w:start="1"/>
          <w:cols w:space="720"/>
          <w:docGrid w:linePitch="360"/>
        </w:sectPr>
      </w:pPr>
    </w:p>
    <w:p w:rsidR="00686AEB" w:rsidRPr="00677316" w:rsidRDefault="00CE07A9" w:rsidP="00CE07A9">
      <w:pPr>
        <w:ind w:left="270" w:hanging="270"/>
        <w:rPr>
          <w:rStyle w:val="HangingAnActChar"/>
        </w:rPr>
      </w:pPr>
      <w:r>
        <w:rPr>
          <w:rStyle w:val="BillHead"/>
        </w:rPr>
        <w:lastRenderedPageBreak/>
        <w:t>An Act</w:t>
      </w:r>
      <w:r w:rsidRPr="006B7FA7">
        <w:rPr>
          <w:rStyle w:val="HangingAnActChar"/>
        </w:rPr>
        <w:t xml:space="preserve"> </w:t>
      </w:r>
      <w:r>
        <w:t xml:space="preserve">concerning association assessment </w:t>
      </w:r>
      <w:r>
        <w:rPr>
          <w:rFonts w:ascii="Albertus Extra Bold" w:hAnsi="Albertus Extra Bold"/>
          <w:b/>
          <w:vertAlign w:val="superscript"/>
        </w:rPr>
        <w:t>1</w:t>
      </w:r>
      <w:r w:rsidRPr="00D25915">
        <w:rPr>
          <w:rFonts w:ascii="Albertus Extra Bold" w:hAnsi="Albertus Extra Bold"/>
          <w:b/>
        </w:rPr>
        <w:t>[</w:t>
      </w:r>
      <w:r>
        <w:t>and election participation</w:t>
      </w:r>
      <w:r w:rsidRPr="00D25915">
        <w:rPr>
          <w:rFonts w:ascii="Albertus Extra Bold" w:hAnsi="Albertus Extra Bold"/>
          <w:b/>
        </w:rPr>
        <w:t>]</w:t>
      </w:r>
      <w:r>
        <w:rPr>
          <w:rFonts w:ascii="Albertus Extra Bold" w:hAnsi="Albertus Extra Bold"/>
          <w:b/>
          <w:vertAlign w:val="superscript"/>
        </w:rPr>
        <w:t>1</w:t>
      </w:r>
      <w:r>
        <w:t xml:space="preserve"> in planned real </w:t>
      </w:r>
      <w:r w:rsidRPr="00166519">
        <w:t>estate developments, and supplementing P.L.19</w:t>
      </w:r>
      <w:r>
        <w:t>77, c.419 (C.45:22A-21 et seq.)</w:t>
      </w:r>
      <w:r w:rsidR="00DB344F" w:rsidRPr="00166519">
        <w:t>.</w:t>
      </w:r>
    </w:p>
    <w:p w:rsidR="000B1054" w:rsidRPr="00D71D68" w:rsidRDefault="000B1054" w:rsidP="000B1054"/>
    <w:p w:rsidR="00686AEB" w:rsidRPr="00AA7880" w:rsidRDefault="00686AEB" w:rsidP="00686AEB">
      <w:r>
        <w:tab/>
      </w:r>
      <w:r w:rsidR="009F2323">
        <w:rPr>
          <w:rStyle w:val="BillHeading2"/>
        </w:rPr>
        <w:t>Be It Enacted</w:t>
      </w:r>
      <w:r>
        <w:rPr>
          <w:rStyle w:val="BillHeading2"/>
        </w:rPr>
        <w:t xml:space="preserve"> </w:t>
      </w:r>
      <w:r w:rsidR="009F2323">
        <w:rPr>
          <w:rStyle w:val="BillLanguage"/>
        </w:rPr>
        <w:t>by the Senate and General Assembly of the State of New Jersey:</w:t>
      </w:r>
    </w:p>
    <w:p w:rsidR="00686AEB" w:rsidRPr="00D71D68" w:rsidRDefault="00686AEB" w:rsidP="00686AEB"/>
    <w:p w:rsidR="00501A30" w:rsidRPr="00C91E10" w:rsidRDefault="00501A30" w:rsidP="00501A30">
      <w:r w:rsidRPr="00C91E10">
        <w:tab/>
        <w:t>1.</w:t>
      </w:r>
      <w:r w:rsidRPr="00C91E10">
        <w:tab/>
        <w:t xml:space="preserve">The Legislature finds and declares that: </w:t>
      </w:r>
    </w:p>
    <w:p w:rsidR="00501A30" w:rsidRPr="00C91E10" w:rsidRDefault="00501A30" w:rsidP="00501A30">
      <w:r w:rsidRPr="00C91E10">
        <w:tab/>
        <w:t>a.</w:t>
      </w:r>
      <w:r w:rsidRPr="00C91E10">
        <w:tab/>
        <w:t>Certain associations have interpreted that the provisions of P.L.2017, c.106 (C.45:22A-45.1 et al.), enacted on July 13, 2017, may impose new responsibilities on certain property owners to pay assessments and other charges to their associations; and</w:t>
      </w:r>
    </w:p>
    <w:p w:rsidR="00501A30" w:rsidRDefault="00501A30" w:rsidP="00501A30">
      <w:r w:rsidRPr="00C91E10">
        <w:tab/>
        <w:t xml:space="preserve">b.  It is necessary and in the public interest for the Legislature to clarify that P.L.2017, c.106 (C.45:22A-45.1 et al.) did not impose new responsibilities on property owners to pay assessments and other charges </w:t>
      </w:r>
      <w:r>
        <w:rPr>
          <w:rFonts w:ascii="Albertus Extra Bold" w:hAnsi="Albertus Extra Bold"/>
          <w:b/>
          <w:vertAlign w:val="superscript"/>
        </w:rPr>
        <w:t>2</w:t>
      </w:r>
      <w:r w:rsidRPr="00910992">
        <w:rPr>
          <w:rFonts w:ascii="Albertus Extra Bold" w:hAnsi="Albertus Extra Bold"/>
          <w:b/>
        </w:rPr>
        <w:t>[</w:t>
      </w:r>
      <w:r w:rsidRPr="00C91E10">
        <w:rPr>
          <w:rFonts w:ascii="Albertus Extra Bold" w:hAnsi="Albertus Extra Bold"/>
          <w:b/>
          <w:vertAlign w:val="superscript"/>
        </w:rPr>
        <w:t>1</w:t>
      </w:r>
      <w:r w:rsidRPr="00C91E10">
        <w:rPr>
          <w:u w:val="single"/>
        </w:rPr>
        <w:t>, nor did it convert a previously voluntary association into a planned real estate development</w:t>
      </w:r>
      <w:r w:rsidRPr="00C91E10">
        <w:rPr>
          <w:rFonts w:ascii="Albertus Extra Bold" w:hAnsi="Albertus Extra Bold"/>
          <w:b/>
          <w:vertAlign w:val="superscript"/>
        </w:rPr>
        <w:t>1</w:t>
      </w:r>
      <w:r w:rsidRPr="00910992">
        <w:rPr>
          <w:rFonts w:ascii="Albertus Extra Bold" w:hAnsi="Albertus Extra Bold"/>
          <w:b/>
        </w:rPr>
        <w:t>]</w:t>
      </w:r>
      <w:r>
        <w:rPr>
          <w:rFonts w:ascii="Albertus Extra Bold" w:hAnsi="Albertus Extra Bold"/>
          <w:b/>
          <w:vertAlign w:val="superscript"/>
        </w:rPr>
        <w:t>2</w:t>
      </w:r>
      <w:r>
        <w:t>.</w:t>
      </w:r>
    </w:p>
    <w:p w:rsidR="00CE07A9" w:rsidRDefault="00CE07A9" w:rsidP="00CE07A9"/>
    <w:p w:rsidR="00F52F7A" w:rsidRPr="00C91E10" w:rsidRDefault="00F52F7A" w:rsidP="00F52F7A">
      <w:pPr>
        <w:tabs>
          <w:tab w:val="clear" w:pos="1440"/>
          <w:tab w:val="left" w:pos="1080"/>
        </w:tabs>
      </w:pPr>
      <w:r w:rsidRPr="00C91E10">
        <w:tab/>
        <w:t>2.</w:t>
      </w:r>
      <w:r w:rsidRPr="00C91E10">
        <w:tab/>
        <w:t>a.</w:t>
      </w:r>
      <w:r w:rsidRPr="00C91E10">
        <w:tab/>
        <w:t xml:space="preserve">An association in </w:t>
      </w:r>
      <w:r w:rsidRPr="00C91E10">
        <w:rPr>
          <w:rFonts w:ascii="Albertus Extra Bold" w:hAnsi="Albertus Extra Bold"/>
          <w:b/>
          <w:vertAlign w:val="superscript"/>
        </w:rPr>
        <w:t>1</w:t>
      </w:r>
      <w:r w:rsidRPr="00C91E10">
        <w:rPr>
          <w:rFonts w:ascii="Albertus Extra Bold" w:hAnsi="Albertus Extra Bold"/>
          <w:b/>
        </w:rPr>
        <w:t>[</w:t>
      </w:r>
      <w:r w:rsidRPr="00C91E10">
        <w:t>communities</w:t>
      </w:r>
      <w:r w:rsidRPr="00C91E10">
        <w:rPr>
          <w:rFonts w:ascii="Albertus Extra Bold" w:hAnsi="Albertus Extra Bold"/>
          <w:b/>
        </w:rPr>
        <w:t>]</w:t>
      </w:r>
      <w:r w:rsidRPr="00C91E10">
        <w:t xml:space="preserve"> </w:t>
      </w:r>
      <w:r w:rsidRPr="00C91E10">
        <w:rPr>
          <w:u w:val="single"/>
        </w:rPr>
        <w:t>a community</w:t>
      </w:r>
      <w:r w:rsidRPr="00C91E10">
        <w:rPr>
          <w:rFonts w:ascii="Albertus Extra Bold" w:hAnsi="Albertus Extra Bold"/>
          <w:b/>
          <w:vertAlign w:val="superscript"/>
        </w:rPr>
        <w:t>1</w:t>
      </w:r>
      <w:r w:rsidRPr="00C91E10">
        <w:t xml:space="preserve"> established prior to the </w:t>
      </w:r>
      <w:r w:rsidRPr="00C91E10">
        <w:rPr>
          <w:rFonts w:ascii="Albertus Extra Bold" w:hAnsi="Albertus Extra Bold"/>
          <w:b/>
          <w:vertAlign w:val="superscript"/>
        </w:rPr>
        <w:t>1</w:t>
      </w:r>
      <w:r w:rsidRPr="00C91E10">
        <w:rPr>
          <w:rFonts w:ascii="Albertus Extra Bold" w:hAnsi="Albertus Extra Bold"/>
          <w:b/>
        </w:rPr>
        <w:t>[</w:t>
      </w:r>
      <w:r w:rsidRPr="00C91E10">
        <w:t>passage</w:t>
      </w:r>
      <w:r w:rsidRPr="00C91E10">
        <w:rPr>
          <w:rFonts w:ascii="Albertus Extra Bold" w:hAnsi="Albertus Extra Bold"/>
          <w:b/>
        </w:rPr>
        <w:t>]</w:t>
      </w:r>
      <w:r w:rsidRPr="00C91E10">
        <w:t xml:space="preserve"> </w:t>
      </w:r>
      <w:r w:rsidRPr="00C91E10">
        <w:rPr>
          <w:u w:val="single"/>
        </w:rPr>
        <w:t>effective date</w:t>
      </w:r>
      <w:r w:rsidRPr="00C91E10">
        <w:rPr>
          <w:rFonts w:ascii="Albertus Extra Bold" w:hAnsi="Albertus Extra Bold"/>
          <w:b/>
          <w:vertAlign w:val="superscript"/>
        </w:rPr>
        <w:t>1</w:t>
      </w:r>
      <w:r w:rsidRPr="00C91E10">
        <w:t xml:space="preserve"> of the “Planned Real Estate </w:t>
      </w:r>
      <w:r w:rsidRPr="00C91E10">
        <w:rPr>
          <w:rFonts w:ascii="Albertus Extra Bold" w:hAnsi="Albertus Extra Bold"/>
          <w:b/>
          <w:vertAlign w:val="superscript"/>
        </w:rPr>
        <w:t>1</w:t>
      </w:r>
      <w:r w:rsidRPr="00C91E10">
        <w:rPr>
          <w:rFonts w:ascii="Albertus Extra Bold" w:hAnsi="Albertus Extra Bold"/>
          <w:b/>
        </w:rPr>
        <w:t>[</w:t>
      </w:r>
      <w:r w:rsidRPr="00C91E10">
        <w:t>Financial</w:t>
      </w:r>
      <w:r w:rsidRPr="00C91E10">
        <w:rPr>
          <w:rFonts w:ascii="Albertus Extra Bold" w:hAnsi="Albertus Extra Bold"/>
          <w:b/>
        </w:rPr>
        <w:t>]</w:t>
      </w:r>
      <w:r w:rsidRPr="00C91E10">
        <w:t xml:space="preserve"> </w:t>
      </w:r>
      <w:r w:rsidRPr="00C91E10">
        <w:rPr>
          <w:u w:val="single"/>
        </w:rPr>
        <w:t>Development Full</w:t>
      </w:r>
      <w:r w:rsidRPr="00C91E10">
        <w:rPr>
          <w:rFonts w:ascii="Albertus Extra Bold" w:hAnsi="Albertus Extra Bold"/>
          <w:b/>
          <w:vertAlign w:val="superscript"/>
        </w:rPr>
        <w:t>1</w:t>
      </w:r>
      <w:r w:rsidRPr="00C91E10">
        <w:t xml:space="preserve"> Disclosure Act,” (“PREDFDA”), P.L.1977, c.419 (C.45:22A-21 et seq.), shall not be permitted to require property owners to pay assessments and other charges </w:t>
      </w:r>
      <w:r>
        <w:rPr>
          <w:rFonts w:ascii="Albertus Extra Bold" w:hAnsi="Albertus Extra Bold"/>
          <w:b/>
          <w:vertAlign w:val="superscript"/>
        </w:rPr>
        <w:t>2</w:t>
      </w:r>
      <w:r w:rsidRPr="00C11C72">
        <w:rPr>
          <w:rFonts w:ascii="Albertus Extra Bold" w:hAnsi="Albertus Extra Bold"/>
          <w:b/>
        </w:rPr>
        <w:t>[</w:t>
      </w:r>
      <w:r w:rsidRPr="00C91E10">
        <w:rPr>
          <w:rFonts w:ascii="Albertus Extra Bold" w:hAnsi="Albertus Extra Bold"/>
          <w:b/>
          <w:vertAlign w:val="superscript"/>
        </w:rPr>
        <w:t>1</w:t>
      </w:r>
      <w:r w:rsidRPr="00C91E10">
        <w:rPr>
          <w:u w:val="single"/>
        </w:rPr>
        <w:t>, unless otherwise provided by law,</w:t>
      </w:r>
      <w:r w:rsidRPr="00C91E10">
        <w:rPr>
          <w:rFonts w:ascii="Albertus Extra Bold" w:hAnsi="Albertus Extra Bold"/>
          <w:b/>
          <w:vertAlign w:val="superscript"/>
        </w:rPr>
        <w:t>1</w:t>
      </w:r>
      <w:r w:rsidRPr="00C11C72">
        <w:rPr>
          <w:rFonts w:ascii="Albertus Extra Bold" w:hAnsi="Albertus Extra Bold"/>
          <w:b/>
        </w:rPr>
        <w:t>]</w:t>
      </w:r>
      <w:r>
        <w:rPr>
          <w:rFonts w:ascii="Albertus Extra Bold" w:hAnsi="Albertus Extra Bold"/>
          <w:b/>
          <w:vertAlign w:val="superscript"/>
        </w:rPr>
        <w:t>2</w:t>
      </w:r>
      <w:r>
        <w:t xml:space="preserve"> </w:t>
      </w:r>
      <w:r w:rsidRPr="00C91E10">
        <w:t xml:space="preserve">where </w:t>
      </w:r>
      <w:r>
        <w:rPr>
          <w:rFonts w:ascii="Albertus Extra Bold" w:hAnsi="Albertus Extra Bold"/>
          <w:b/>
          <w:vertAlign w:val="superscript"/>
        </w:rPr>
        <w:t>2</w:t>
      </w:r>
      <w:r w:rsidRPr="00976C6B">
        <w:rPr>
          <w:rFonts w:ascii="Albertus Extra Bold" w:hAnsi="Albertus Extra Bold"/>
          <w:b/>
        </w:rPr>
        <w:t>[</w:t>
      </w:r>
      <w:r w:rsidRPr="00C91E10">
        <w:rPr>
          <w:rFonts w:ascii="Albertus Extra Bold" w:hAnsi="Albertus Extra Bold"/>
          <w:b/>
          <w:vertAlign w:val="superscript"/>
        </w:rPr>
        <w:t>1</w:t>
      </w:r>
      <w:r w:rsidRPr="00C91E10">
        <w:rPr>
          <w:u w:val="single"/>
        </w:rPr>
        <w:t>:</w:t>
      </w:r>
      <w:r w:rsidRPr="00C91E10">
        <w:t xml:space="preserve"> </w:t>
      </w:r>
    </w:p>
    <w:p w:rsidR="00F52F7A" w:rsidRPr="00C91E10" w:rsidRDefault="00F52F7A" w:rsidP="00F52F7A">
      <w:pPr>
        <w:tabs>
          <w:tab w:val="clear" w:pos="720"/>
          <w:tab w:val="clear" w:pos="1440"/>
          <w:tab w:val="left" w:pos="810"/>
          <w:tab w:val="left" w:pos="1080"/>
        </w:tabs>
        <w:rPr>
          <w:u w:val="single"/>
        </w:rPr>
      </w:pPr>
      <w:r w:rsidRPr="00C91E10">
        <w:tab/>
      </w:r>
      <w:r w:rsidRPr="00C91E10">
        <w:rPr>
          <w:u w:val="single"/>
        </w:rPr>
        <w:t>(1)</w:t>
      </w:r>
      <w:r w:rsidRPr="00C91E10">
        <w:rPr>
          <w:rFonts w:ascii="Albertus Extra Bold" w:hAnsi="Albertus Extra Bold"/>
          <w:b/>
          <w:vertAlign w:val="superscript"/>
        </w:rPr>
        <w:t>1</w:t>
      </w:r>
      <w:r w:rsidRPr="00976C6B">
        <w:rPr>
          <w:rFonts w:ascii="Albertus Extra Bold" w:hAnsi="Albertus Extra Bold"/>
          <w:b/>
        </w:rPr>
        <w:t>]</w:t>
      </w:r>
      <w:r>
        <w:rPr>
          <w:rFonts w:ascii="Albertus Extra Bold" w:hAnsi="Albertus Extra Bold"/>
          <w:b/>
          <w:vertAlign w:val="superscript"/>
        </w:rPr>
        <w:t>2</w:t>
      </w:r>
      <w:r>
        <w:t xml:space="preserve"> </w:t>
      </w:r>
      <w:r w:rsidRPr="00C91E10">
        <w:t xml:space="preserve">the property owner’s title record does not impose such an obligation </w:t>
      </w:r>
      <w:r w:rsidRPr="00C91E10">
        <w:rPr>
          <w:rFonts w:ascii="Albertus Extra Bold" w:hAnsi="Albertus Extra Bold"/>
          <w:b/>
          <w:vertAlign w:val="superscript"/>
        </w:rPr>
        <w:t>1</w:t>
      </w:r>
      <w:r w:rsidRPr="00C91E10">
        <w:rPr>
          <w:rFonts w:ascii="Albertus Extra Bold" w:hAnsi="Albertus Extra Bold"/>
          <w:b/>
        </w:rPr>
        <w:t>[</w:t>
      </w:r>
      <w:r w:rsidRPr="00C91E10">
        <w:t>, unless otherwise provided by law</w:t>
      </w:r>
      <w:r w:rsidRPr="00C91E10">
        <w:rPr>
          <w:rFonts w:ascii="Albertus Extra Bold" w:hAnsi="Albertus Extra Bold"/>
          <w:b/>
        </w:rPr>
        <w:t>]</w:t>
      </w:r>
      <w:r w:rsidRPr="00C91E10">
        <w:t xml:space="preserve"> </w:t>
      </w:r>
      <w:r>
        <w:rPr>
          <w:rFonts w:ascii="Albertus Extra Bold" w:hAnsi="Albertus Extra Bold"/>
          <w:b/>
          <w:vertAlign w:val="superscript"/>
        </w:rPr>
        <w:t>2</w:t>
      </w:r>
      <w:r w:rsidRPr="00973841">
        <w:rPr>
          <w:rFonts w:ascii="Albertus Extra Bold" w:hAnsi="Albertus Extra Bold"/>
          <w:b/>
        </w:rPr>
        <w:t>[</w:t>
      </w:r>
      <w:r w:rsidRPr="00C91E10">
        <w:rPr>
          <w:u w:val="single"/>
        </w:rPr>
        <w:t xml:space="preserve">; or </w:t>
      </w:r>
    </w:p>
    <w:p w:rsidR="00F52F7A" w:rsidRPr="00C91E10" w:rsidRDefault="00F52F7A" w:rsidP="00F52F7A">
      <w:pPr>
        <w:tabs>
          <w:tab w:val="clear" w:pos="720"/>
          <w:tab w:val="clear" w:pos="1440"/>
          <w:tab w:val="left" w:pos="810"/>
          <w:tab w:val="left" w:pos="1080"/>
        </w:tabs>
      </w:pPr>
      <w:r w:rsidRPr="00C91E10">
        <w:tab/>
      </w:r>
      <w:r w:rsidRPr="00C91E10">
        <w:rPr>
          <w:u w:val="single"/>
        </w:rPr>
        <w:t>(2)</w:t>
      </w:r>
      <w:r w:rsidRPr="00C91E10">
        <w:rPr>
          <w:u w:val="single"/>
        </w:rPr>
        <w:tab/>
        <w:t>the property owner’s title record establishes such an obligation, but it was previously only imposed on property owners who voluntarily elected to join or become members of the association, and not on all property owners</w:t>
      </w:r>
      <w:r w:rsidRPr="00C91E10">
        <w:rPr>
          <w:rFonts w:ascii="Albertus Extra Bold" w:hAnsi="Albertus Extra Bold"/>
          <w:b/>
          <w:vertAlign w:val="superscript"/>
        </w:rPr>
        <w:t>1</w:t>
      </w:r>
      <w:r w:rsidRPr="00C91E10">
        <w:t xml:space="preserve">. </w:t>
      </w:r>
    </w:p>
    <w:p w:rsidR="00F52F7A" w:rsidRPr="00C91E10" w:rsidRDefault="00F52F7A" w:rsidP="00F52F7A">
      <w:pPr>
        <w:tabs>
          <w:tab w:val="clear" w:pos="720"/>
          <w:tab w:val="left" w:pos="630"/>
        </w:tabs>
        <w:rPr>
          <w:rFonts w:ascii="Albertus Extra Bold" w:hAnsi="Albertus Extra Bold"/>
          <w:b/>
          <w:vertAlign w:val="superscript"/>
        </w:rPr>
      </w:pPr>
      <w:r w:rsidRPr="00C91E10">
        <w:tab/>
        <w:t>b.</w:t>
      </w:r>
      <w:r w:rsidRPr="00C91E10">
        <w:tab/>
      </w:r>
      <w:r w:rsidRPr="00C91E10">
        <w:rPr>
          <w:rFonts w:ascii="Albertus Extra Bold" w:hAnsi="Albertus Extra Bold"/>
          <w:b/>
          <w:vertAlign w:val="superscript"/>
        </w:rPr>
        <w:t>1</w:t>
      </w:r>
      <w:r w:rsidRPr="00C91E10">
        <w:rPr>
          <w:u w:val="single"/>
        </w:rPr>
        <w:t>In an association within a community established prior to the effective date of PREDFDA, if the association seeks to require one or more property owners to pay assessments and other charges where the property owner’s title record is subject to the provisions of paragraph (2) of subsection a. of this section, the association shall first obtain an order of the court of competent jurisdiction, declaring the owners as members of the association and authorizing the association to assess the members of the association.</w:t>
      </w:r>
      <w:r w:rsidRPr="000D17A6">
        <w:rPr>
          <w:rFonts w:ascii="Albertus Extra Bold" w:hAnsi="Albertus Extra Bold"/>
          <w:b/>
        </w:rPr>
        <w:t>]</w:t>
      </w:r>
      <w:r w:rsidRPr="000D17A6">
        <w:t xml:space="preserve"> </w:t>
      </w:r>
      <w:r>
        <w:rPr>
          <w:u w:val="single"/>
        </w:rPr>
        <w:t>, unless otherwise provided by law.</w:t>
      </w:r>
      <w:r>
        <w:rPr>
          <w:rFonts w:ascii="Albertus Extra Bold" w:hAnsi="Albertus Extra Bold"/>
          <w:b/>
          <w:vertAlign w:val="superscript"/>
        </w:rPr>
        <w:t>2</w:t>
      </w:r>
    </w:p>
    <w:p w:rsidR="00F52F7A" w:rsidRDefault="00F52F7A" w:rsidP="00F52F7A">
      <w:r w:rsidRPr="00C91E10">
        <w:tab/>
      </w:r>
      <w:r>
        <w:rPr>
          <w:rFonts w:ascii="Albertus Extra Bold" w:hAnsi="Albertus Extra Bold"/>
          <w:b/>
          <w:vertAlign w:val="superscript"/>
        </w:rPr>
        <w:t>2</w:t>
      </w:r>
      <w:r w:rsidRPr="00973841">
        <w:rPr>
          <w:rFonts w:ascii="Albertus Extra Bold" w:hAnsi="Albertus Extra Bold"/>
          <w:b/>
        </w:rPr>
        <w:t>[</w:t>
      </w:r>
      <w:r w:rsidRPr="00C91E10">
        <w:rPr>
          <w:u w:val="single"/>
        </w:rPr>
        <w:t>c.</w:t>
      </w:r>
      <w:r w:rsidRPr="00C91E10">
        <w:rPr>
          <w:rFonts w:ascii="Albertus Extra Bold" w:hAnsi="Albertus Extra Bold"/>
          <w:b/>
          <w:vertAlign w:val="superscript"/>
        </w:rPr>
        <w:t>1</w:t>
      </w:r>
      <w:r w:rsidRPr="00973841">
        <w:rPr>
          <w:rFonts w:ascii="Albertus Extra Bold" w:hAnsi="Albertus Extra Bold"/>
          <w:b/>
        </w:rPr>
        <w:t>]</w:t>
      </w:r>
      <w:r w:rsidRPr="00C91E10">
        <w:t xml:space="preserve"> </w:t>
      </w:r>
      <w:r>
        <w:rPr>
          <w:u w:val="single"/>
        </w:rPr>
        <w:t>b.</w:t>
      </w:r>
      <w:r>
        <w:rPr>
          <w:rFonts w:ascii="Albertus Extra Bold" w:hAnsi="Albertus Extra Bold"/>
          <w:b/>
          <w:vertAlign w:val="superscript"/>
        </w:rPr>
        <w:t>2</w:t>
      </w:r>
      <w:r>
        <w:t xml:space="preserve">  </w:t>
      </w:r>
      <w:r w:rsidRPr="00C91E10">
        <w:t xml:space="preserve">If </w:t>
      </w:r>
      <w:r w:rsidRPr="00C91E10">
        <w:rPr>
          <w:rFonts w:ascii="Albertus Extra Bold" w:hAnsi="Albertus Extra Bold"/>
          <w:b/>
          <w:vertAlign w:val="superscript"/>
        </w:rPr>
        <w:t>1</w:t>
      </w:r>
      <w:r w:rsidRPr="00C91E10">
        <w:rPr>
          <w:u w:val="single"/>
        </w:rPr>
        <w:t>, after July 13, 2017,</w:t>
      </w:r>
      <w:r w:rsidRPr="00C91E10">
        <w:rPr>
          <w:rFonts w:ascii="Albertus Extra Bold" w:hAnsi="Albertus Extra Bold"/>
          <w:b/>
          <w:vertAlign w:val="superscript"/>
        </w:rPr>
        <w:t>1</w:t>
      </w:r>
      <w:r w:rsidRPr="00C91E10">
        <w:t xml:space="preserve"> an association has recorded a lien </w:t>
      </w:r>
      <w:r w:rsidRPr="00C91E10">
        <w:rPr>
          <w:rFonts w:ascii="Albertus Extra Bold" w:hAnsi="Albertus Extra Bold"/>
          <w:b/>
          <w:vertAlign w:val="superscript"/>
        </w:rPr>
        <w:t>1</w:t>
      </w:r>
      <w:r w:rsidRPr="00C91E10">
        <w:rPr>
          <w:u w:val="single"/>
        </w:rPr>
        <w:t>against an owner’s property</w:t>
      </w:r>
      <w:r w:rsidRPr="00C91E10">
        <w:rPr>
          <w:rFonts w:ascii="Albertus Extra Bold" w:hAnsi="Albertus Extra Bold"/>
          <w:b/>
          <w:vertAlign w:val="superscript"/>
        </w:rPr>
        <w:t>1</w:t>
      </w:r>
      <w:r w:rsidRPr="00C91E10">
        <w:t xml:space="preserve"> for non-payment</w:t>
      </w:r>
      <w:r>
        <w:t xml:space="preserve"> </w:t>
      </w:r>
      <w:r w:rsidRPr="00C91E10">
        <w:rPr>
          <w:rFonts w:ascii="Albertus Extra Bold" w:hAnsi="Albertus Extra Bold"/>
          <w:b/>
          <w:vertAlign w:val="superscript"/>
        </w:rPr>
        <w:t>1</w:t>
      </w:r>
      <w:r w:rsidRPr="00C91E10">
        <w:rPr>
          <w:rFonts w:ascii="Albertus Extra Bold" w:hAnsi="Albertus Extra Bold"/>
          <w:b/>
        </w:rPr>
        <w:t>[</w:t>
      </w:r>
      <w:r w:rsidRPr="00C91E10">
        <w:t xml:space="preserve">on or after July 13, 2017 that is based solely on the misinterpretation that </w:t>
      </w:r>
      <w:r w:rsidRPr="00C91E10">
        <w:lastRenderedPageBreak/>
        <w:t>P.L.2017, c.106 imposed new responsibilities on property owners to pay</w:t>
      </w:r>
      <w:r w:rsidRPr="00C91E10">
        <w:rPr>
          <w:rFonts w:ascii="Albertus Extra Bold" w:hAnsi="Albertus Extra Bold"/>
          <w:b/>
        </w:rPr>
        <w:t>]</w:t>
      </w:r>
      <w:r w:rsidRPr="00C91E10">
        <w:t xml:space="preserve"> </w:t>
      </w:r>
      <w:r>
        <w:rPr>
          <w:rFonts w:ascii="Albertus Extra Bold" w:hAnsi="Albertus Extra Bold"/>
          <w:b/>
          <w:vertAlign w:val="superscript"/>
        </w:rPr>
        <w:t>2</w:t>
      </w:r>
      <w:r w:rsidRPr="002D3EBC">
        <w:rPr>
          <w:rFonts w:ascii="Albertus Extra Bold" w:hAnsi="Albertus Extra Bold"/>
          <w:b/>
        </w:rPr>
        <w:t>[</w:t>
      </w:r>
      <w:r w:rsidRPr="00C91E10">
        <w:rPr>
          <w:u w:val="single"/>
        </w:rPr>
        <w:t>of</w:t>
      </w:r>
      <w:r w:rsidRPr="002D3EBC">
        <w:rPr>
          <w:rFonts w:ascii="Albertus Extra Bold" w:hAnsi="Albertus Extra Bold"/>
          <w:b/>
        </w:rPr>
        <w:t>]</w:t>
      </w:r>
      <w:r w:rsidRPr="002D3EBC">
        <w:t xml:space="preserve"> </w:t>
      </w:r>
      <w:r w:rsidRPr="00FE0D4D">
        <w:rPr>
          <w:u w:val="single"/>
        </w:rPr>
        <w:t>that is based solely on the misinterpretation that P.L.2017, c.106 imposed new responsibilities on property owners to pay</w:t>
      </w:r>
      <w:r>
        <w:rPr>
          <w:rFonts w:ascii="Albertus Extra Bold" w:hAnsi="Albertus Extra Bold"/>
          <w:b/>
          <w:vertAlign w:val="superscript"/>
        </w:rPr>
        <w:t>2</w:t>
      </w:r>
      <w:r>
        <w:t xml:space="preserve"> </w:t>
      </w:r>
      <w:r w:rsidRPr="00C91E10">
        <w:rPr>
          <w:u w:val="single"/>
        </w:rPr>
        <w:t>an association’s</w:t>
      </w:r>
      <w:r w:rsidRPr="00C91E10">
        <w:rPr>
          <w:rFonts w:ascii="Albertus Extra Bold" w:hAnsi="Albertus Extra Bold"/>
          <w:b/>
          <w:vertAlign w:val="superscript"/>
        </w:rPr>
        <w:t>1</w:t>
      </w:r>
      <w:r w:rsidRPr="00C91E10">
        <w:t xml:space="preserve"> assessments or other charges, </w:t>
      </w:r>
      <w:r w:rsidRPr="00C91E10">
        <w:rPr>
          <w:rFonts w:ascii="Albertus Extra Bold" w:hAnsi="Albertus Extra Bold"/>
          <w:b/>
          <w:vertAlign w:val="superscript"/>
        </w:rPr>
        <w:t>1</w:t>
      </w:r>
      <w:r w:rsidRPr="00C91E10">
        <w:rPr>
          <w:rFonts w:ascii="Albertus Extra Bold" w:hAnsi="Albertus Extra Bold"/>
          <w:b/>
        </w:rPr>
        <w:t>[</w:t>
      </w:r>
      <w:r w:rsidRPr="00C91E10">
        <w:t>pursuant to P.L.</w:t>
      </w:r>
      <w:r>
        <w:t xml:space="preserve">    </w:t>
      </w:r>
      <w:r w:rsidRPr="00C91E10">
        <w:t>,</w:t>
      </w:r>
      <w:r>
        <w:t xml:space="preserve"> </w:t>
      </w:r>
      <w:r w:rsidRPr="00C91E10">
        <w:t>c.</w:t>
      </w:r>
      <w:r>
        <w:t xml:space="preserve">    </w:t>
      </w:r>
      <w:r w:rsidRPr="00C91E10">
        <w:t>(C.</w:t>
      </w:r>
      <w:r>
        <w:t xml:space="preserve">      </w:t>
      </w:r>
      <w:r w:rsidRPr="00C91E10">
        <w:t>)</w:t>
      </w:r>
      <w:r>
        <w:t xml:space="preserve"> </w:t>
      </w:r>
      <w:r w:rsidRPr="00C91E10">
        <w:t>(pending before the Legislature as this bill)</w:t>
      </w:r>
      <w:r w:rsidRPr="00C91E10">
        <w:rPr>
          <w:rFonts w:ascii="Albertus Extra Bold" w:hAnsi="Albertus Extra Bold"/>
          <w:b/>
        </w:rPr>
        <w:t>]</w:t>
      </w:r>
      <w:r w:rsidRPr="00C91E10">
        <w:t xml:space="preserve"> </w:t>
      </w:r>
      <w:r>
        <w:rPr>
          <w:rFonts w:ascii="Albertus Extra Bold" w:hAnsi="Albertus Extra Bold"/>
          <w:b/>
          <w:vertAlign w:val="superscript"/>
        </w:rPr>
        <w:t>2</w:t>
      </w:r>
      <w:r w:rsidRPr="00432DA9">
        <w:rPr>
          <w:rFonts w:ascii="Albertus Extra Bold" w:hAnsi="Albertus Extra Bold"/>
          <w:b/>
        </w:rPr>
        <w:t>[</w:t>
      </w:r>
      <w:r w:rsidRPr="00C91E10">
        <w:rPr>
          <w:u w:val="single"/>
        </w:rPr>
        <w:t>in contravention of subsection b. of this section</w:t>
      </w:r>
      <w:r w:rsidRPr="00C91E10">
        <w:rPr>
          <w:rFonts w:ascii="Albertus Extra Bold" w:hAnsi="Albertus Extra Bold"/>
          <w:b/>
          <w:vertAlign w:val="superscript"/>
        </w:rPr>
        <w:t>1</w:t>
      </w:r>
      <w:r w:rsidRPr="00432DA9">
        <w:rPr>
          <w:rFonts w:ascii="Albertus Extra Bold" w:hAnsi="Albertus Extra Bold"/>
          <w:b/>
        </w:rPr>
        <w:t>]</w:t>
      </w:r>
      <w:r>
        <w:t xml:space="preserve"> </w:t>
      </w:r>
      <w:r w:rsidRPr="000E5A28">
        <w:rPr>
          <w:u w:val="single"/>
        </w:rPr>
        <w:t xml:space="preserve">pursuant to P.L. </w:t>
      </w:r>
      <w:r>
        <w:rPr>
          <w:u w:val="single"/>
        </w:rPr>
        <w:t xml:space="preserve">   </w:t>
      </w:r>
      <w:r w:rsidRPr="000E5A28">
        <w:rPr>
          <w:u w:val="single"/>
        </w:rPr>
        <w:t xml:space="preserve">,c.  </w:t>
      </w:r>
      <w:r>
        <w:rPr>
          <w:u w:val="single"/>
        </w:rPr>
        <w:t xml:space="preserve"> </w:t>
      </w:r>
      <w:r w:rsidRPr="000E5A28">
        <w:rPr>
          <w:u w:val="single"/>
        </w:rPr>
        <w:t>(C.</w:t>
      </w:r>
      <w:r>
        <w:rPr>
          <w:u w:val="single"/>
        </w:rPr>
        <w:t xml:space="preserve">       </w:t>
      </w:r>
      <w:r w:rsidRPr="000E5A28">
        <w:rPr>
          <w:u w:val="single"/>
        </w:rPr>
        <w:t>)</w:t>
      </w:r>
      <w:r>
        <w:rPr>
          <w:u w:val="single"/>
        </w:rPr>
        <w:t xml:space="preserve"> </w:t>
      </w:r>
      <w:r w:rsidRPr="000E5A28">
        <w:rPr>
          <w:u w:val="single"/>
        </w:rPr>
        <w:t>(pending before the Legislature as this bill)</w:t>
      </w:r>
      <w:r>
        <w:rPr>
          <w:rFonts w:ascii="Albertus Extra Bold" w:hAnsi="Albertus Extra Bold"/>
          <w:b/>
          <w:vertAlign w:val="superscript"/>
        </w:rPr>
        <w:t>2</w:t>
      </w:r>
      <w:r>
        <w:t>,</w:t>
      </w:r>
      <w:r w:rsidRPr="00C91E10">
        <w:t xml:space="preserve"> the lien shall be null and void.  The association shall promptly discharge such lien of record and provide notice of this action to the property owner.  If an association fails to discharge such null and void lien, the owner may bring an action to have the lien discharged and, if successful, shall be entitled to petition the court for an award of counsel fees.</w:t>
      </w:r>
    </w:p>
    <w:p w:rsidR="00DB344F" w:rsidRDefault="00DB344F" w:rsidP="00DB344F"/>
    <w:p w:rsidR="00686AEB" w:rsidRPr="00AA7880" w:rsidRDefault="00DB344F" w:rsidP="00DB344F">
      <w:r>
        <w:tab/>
        <w:t>3.</w:t>
      </w:r>
      <w:r w:rsidR="00945F50">
        <w:tab/>
      </w:r>
      <w:r>
        <w:t>This act shall take effect immediately and shall be retroactive to July 13, 2017.</w:t>
      </w:r>
    </w:p>
    <w:sectPr w:rsidR="00686AEB" w:rsidRPr="00AA7880" w:rsidSect="0002374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565" w:rsidRDefault="009C3565">
      <w:r>
        <w:separator/>
      </w:r>
    </w:p>
  </w:endnote>
  <w:endnote w:type="continuationSeparator" w:id="0">
    <w:p w:rsidR="009C3565" w:rsidRDefault="009C3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AD1" w:rsidRDefault="00773674" w:rsidP="00773674">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F50" w:rsidRDefault="00945F50">
    <w:pPr>
      <w:pStyle w:val="Footer"/>
      <w:rPr>
        <w:szCs w:val="18"/>
      </w:rPr>
    </w:pPr>
  </w:p>
  <w:p w:rsidR="00CE07A9" w:rsidRPr="00921C91" w:rsidRDefault="00CE07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07A9" w:rsidRPr="00921C91" w:rsidRDefault="00CE07A9">
    <w:pPr>
      <w:pStyle w:val="Footer"/>
      <w:rPr>
        <w:szCs w:val="18"/>
      </w:rPr>
    </w:pPr>
  </w:p>
  <w:p w:rsidR="00CE07A9" w:rsidRPr="00921C91" w:rsidRDefault="00CE07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E07A9" w:rsidRDefault="00CE07A9" w:rsidP="00686AEB">
    <w:pPr>
      <w:pStyle w:val="Footer"/>
    </w:pPr>
    <w:r>
      <w:tab/>
      <w:t>Matter enclosed in superscript numerals has been adopted as follows:</w:t>
    </w:r>
  </w:p>
  <w:p w:rsidR="00A2175F" w:rsidRDefault="00CE07A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March 5, 2020.</w:t>
    </w:r>
  </w:p>
  <w:p w:rsidR="00A2175F" w:rsidRDefault="00A2175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Senate amendments adopted in accordance with Governor's </w:t>
    </w:r>
  </w:p>
  <w:p w:rsidR="00CE07A9" w:rsidRDefault="00A2175F" w:rsidP="00686AEB">
    <w:pPr>
      <w:pStyle w:val="Footer"/>
      <w:rPr>
        <w:rFonts w:ascii="AlbertusExtraBold" w:hAnsi="AlbertusExtraBold"/>
      </w:rPr>
    </w:pPr>
    <w:r>
      <w:rPr>
        <w:rFonts w:ascii="AlbertusExtraBold" w:hAnsi="AlbertusExtraBold"/>
      </w:rPr>
      <w:t xml:space="preserve">     recommendations August 27,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565" w:rsidRDefault="009C3565">
      <w:r>
        <w:separator/>
      </w:r>
    </w:p>
  </w:footnote>
  <w:footnote w:type="continuationSeparator" w:id="0">
    <w:p w:rsidR="009C3565" w:rsidRDefault="009C3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5A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374F" w:rsidRDefault="0002374F" w:rsidP="0002374F">
    <w:pPr>
      <w:pStyle w:val="bpuHeadSpon"/>
    </w:pPr>
    <w:r w:rsidRPr="0002374F">
      <w:rPr>
        <w:rStyle w:val="bpuHeadSponChar"/>
      </w:rPr>
      <w:t>S908</w:t>
    </w:r>
    <w:r>
      <w:t xml:space="preserve"> </w:t>
    </w:r>
    <w:r w:rsidR="00A2175F">
      <w:t>[2R]</w:t>
    </w:r>
    <w:r w:rsidR="00CE07A9">
      <w:t xml:space="preserve"> </w:t>
    </w:r>
    <w:r>
      <w:t>SINGLETON, OROHO</w:t>
    </w:r>
  </w:p>
  <w:p w:rsidR="0002374F" w:rsidRDefault="0002374F" w:rsidP="0002374F">
    <w:pPr>
      <w:pStyle w:val="bpuHeadSpon"/>
    </w:pPr>
    <w:r>
      <w:fldChar w:fldCharType="begin"/>
    </w:r>
    <w:r>
      <w:instrText xml:space="preserve"> PAGE  \* MERGEFORMAT </w:instrText>
    </w:r>
    <w:r>
      <w:fldChar w:fldCharType="separate"/>
    </w:r>
    <w:r w:rsidR="00965AAF">
      <w:rPr>
        <w:noProof/>
      </w:rPr>
      <w:t>3</w:t>
    </w:r>
    <w:r>
      <w:fldChar w:fldCharType="end"/>
    </w:r>
  </w:p>
  <w:p w:rsidR="0002374F" w:rsidRDefault="0002374F" w:rsidP="000237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374F" w:rsidRDefault="0002374F" w:rsidP="0002374F">
    <w:pPr>
      <w:pStyle w:val="bpuHeadSpon"/>
    </w:pPr>
    <w:r w:rsidRPr="0002374F">
      <w:rPr>
        <w:rStyle w:val="bpuHeadSponChar"/>
      </w:rPr>
      <w:t>S908</w:t>
    </w:r>
    <w:r>
      <w:t xml:space="preserve"> </w:t>
    </w:r>
    <w:r w:rsidR="00A2175F">
      <w:t>[2R]</w:t>
    </w:r>
    <w:r w:rsidR="00CE07A9">
      <w:t xml:space="preserve"> </w:t>
    </w:r>
    <w:r>
      <w:t>SINGLETON, OROHO</w:t>
    </w:r>
  </w:p>
  <w:p w:rsidR="0002374F" w:rsidRDefault="0002374F" w:rsidP="0002374F">
    <w:pPr>
      <w:pStyle w:val="bpuHeadSpon"/>
    </w:pPr>
    <w:r>
      <w:fldChar w:fldCharType="begin"/>
    </w:r>
    <w:r>
      <w:instrText xml:space="preserve"> PAGE  \* MERGEFORMAT </w:instrText>
    </w:r>
    <w:r>
      <w:fldChar w:fldCharType="separate"/>
    </w:r>
    <w:r w:rsidR="00965AAF">
      <w:rPr>
        <w:noProof/>
      </w:rPr>
      <w:t>2</w:t>
    </w:r>
    <w:r>
      <w:fldChar w:fldCharType="end"/>
    </w:r>
  </w:p>
  <w:p w:rsidR="0002374F" w:rsidRDefault="0002374F" w:rsidP="000237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565"/>
    <w:rsid w:val="000051BD"/>
    <w:rsid w:val="000160A5"/>
    <w:rsid w:val="0002335B"/>
    <w:rsid w:val="0002374F"/>
    <w:rsid w:val="0003549A"/>
    <w:rsid w:val="000367AE"/>
    <w:rsid w:val="00043B22"/>
    <w:rsid w:val="00054975"/>
    <w:rsid w:val="00057D20"/>
    <w:rsid w:val="0006197C"/>
    <w:rsid w:val="0006281F"/>
    <w:rsid w:val="0008141C"/>
    <w:rsid w:val="00094A55"/>
    <w:rsid w:val="000A44A7"/>
    <w:rsid w:val="000B1054"/>
    <w:rsid w:val="000B3411"/>
    <w:rsid w:val="000B508E"/>
    <w:rsid w:val="000C054C"/>
    <w:rsid w:val="000C12C2"/>
    <w:rsid w:val="000D11AF"/>
    <w:rsid w:val="000D6255"/>
    <w:rsid w:val="000D6262"/>
    <w:rsid w:val="000D7B4A"/>
    <w:rsid w:val="000E4006"/>
    <w:rsid w:val="000F3DA2"/>
    <w:rsid w:val="000F5FDE"/>
    <w:rsid w:val="000F7466"/>
    <w:rsid w:val="00124895"/>
    <w:rsid w:val="0012716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524"/>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E6B"/>
    <w:rsid w:val="002E09CE"/>
    <w:rsid w:val="002E69D1"/>
    <w:rsid w:val="002F3BA6"/>
    <w:rsid w:val="00315320"/>
    <w:rsid w:val="00325776"/>
    <w:rsid w:val="00325E27"/>
    <w:rsid w:val="00326C0B"/>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359"/>
    <w:rsid w:val="004C742C"/>
    <w:rsid w:val="004E1F3E"/>
    <w:rsid w:val="004F21BD"/>
    <w:rsid w:val="004F4F1D"/>
    <w:rsid w:val="004F74DD"/>
    <w:rsid w:val="00501317"/>
    <w:rsid w:val="00501A30"/>
    <w:rsid w:val="0050495C"/>
    <w:rsid w:val="00505DC9"/>
    <w:rsid w:val="00506E1E"/>
    <w:rsid w:val="00511059"/>
    <w:rsid w:val="00513C81"/>
    <w:rsid w:val="00527BFB"/>
    <w:rsid w:val="00532A32"/>
    <w:rsid w:val="00540B0B"/>
    <w:rsid w:val="0054460F"/>
    <w:rsid w:val="00547B31"/>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C0B"/>
    <w:rsid w:val="00613FF5"/>
    <w:rsid w:val="006155A8"/>
    <w:rsid w:val="006214E4"/>
    <w:rsid w:val="00621B94"/>
    <w:rsid w:val="00626239"/>
    <w:rsid w:val="00635316"/>
    <w:rsid w:val="00635449"/>
    <w:rsid w:val="006378C5"/>
    <w:rsid w:val="00645E6A"/>
    <w:rsid w:val="00665CBC"/>
    <w:rsid w:val="00667A5C"/>
    <w:rsid w:val="00677316"/>
    <w:rsid w:val="00686AEB"/>
    <w:rsid w:val="00693885"/>
    <w:rsid w:val="006A6144"/>
    <w:rsid w:val="006B7897"/>
    <w:rsid w:val="006B7FA7"/>
    <w:rsid w:val="006C086A"/>
    <w:rsid w:val="006C21C1"/>
    <w:rsid w:val="006C7327"/>
    <w:rsid w:val="006D00E5"/>
    <w:rsid w:val="006D791B"/>
    <w:rsid w:val="006E2895"/>
    <w:rsid w:val="006E380F"/>
    <w:rsid w:val="006F180D"/>
    <w:rsid w:val="006F4334"/>
    <w:rsid w:val="006F47AF"/>
    <w:rsid w:val="006F6B8A"/>
    <w:rsid w:val="00707CD3"/>
    <w:rsid w:val="0071151E"/>
    <w:rsid w:val="00716BB9"/>
    <w:rsid w:val="007256D1"/>
    <w:rsid w:val="007279FD"/>
    <w:rsid w:val="007502CB"/>
    <w:rsid w:val="00752D79"/>
    <w:rsid w:val="00752E20"/>
    <w:rsid w:val="00756EDE"/>
    <w:rsid w:val="0077367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1B6"/>
    <w:rsid w:val="008D77BD"/>
    <w:rsid w:val="008E454C"/>
    <w:rsid w:val="008F1E5A"/>
    <w:rsid w:val="00901BDA"/>
    <w:rsid w:val="009121D8"/>
    <w:rsid w:val="00916F7A"/>
    <w:rsid w:val="00917FE3"/>
    <w:rsid w:val="009318C7"/>
    <w:rsid w:val="00931C09"/>
    <w:rsid w:val="009348C2"/>
    <w:rsid w:val="009440D0"/>
    <w:rsid w:val="00945F50"/>
    <w:rsid w:val="009523A3"/>
    <w:rsid w:val="009566A4"/>
    <w:rsid w:val="00960958"/>
    <w:rsid w:val="00963A46"/>
    <w:rsid w:val="00965AAF"/>
    <w:rsid w:val="00966A3E"/>
    <w:rsid w:val="00971493"/>
    <w:rsid w:val="00971AD9"/>
    <w:rsid w:val="00973069"/>
    <w:rsid w:val="00973523"/>
    <w:rsid w:val="00980766"/>
    <w:rsid w:val="009835D4"/>
    <w:rsid w:val="009865D4"/>
    <w:rsid w:val="00997152"/>
    <w:rsid w:val="009972CD"/>
    <w:rsid w:val="009A0E9C"/>
    <w:rsid w:val="009A45DA"/>
    <w:rsid w:val="009B030C"/>
    <w:rsid w:val="009B06D2"/>
    <w:rsid w:val="009B34EC"/>
    <w:rsid w:val="009B4AD1"/>
    <w:rsid w:val="009B5D67"/>
    <w:rsid w:val="009B6176"/>
    <w:rsid w:val="009C0D22"/>
    <w:rsid w:val="009C2DD9"/>
    <w:rsid w:val="009C3565"/>
    <w:rsid w:val="009C3E09"/>
    <w:rsid w:val="009C5630"/>
    <w:rsid w:val="009D0E5D"/>
    <w:rsid w:val="009D0F63"/>
    <w:rsid w:val="009D7934"/>
    <w:rsid w:val="009D7CCF"/>
    <w:rsid w:val="009E5961"/>
    <w:rsid w:val="009F2323"/>
    <w:rsid w:val="009F4FAC"/>
    <w:rsid w:val="00A017C0"/>
    <w:rsid w:val="00A11228"/>
    <w:rsid w:val="00A2175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85B"/>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7A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44F"/>
    <w:rsid w:val="00DB6AA2"/>
    <w:rsid w:val="00DE10D1"/>
    <w:rsid w:val="00DE2514"/>
    <w:rsid w:val="00DE6851"/>
    <w:rsid w:val="00DF03EE"/>
    <w:rsid w:val="00E01B71"/>
    <w:rsid w:val="00E05CC9"/>
    <w:rsid w:val="00E11596"/>
    <w:rsid w:val="00E15573"/>
    <w:rsid w:val="00E25A5B"/>
    <w:rsid w:val="00E3378C"/>
    <w:rsid w:val="00E373C7"/>
    <w:rsid w:val="00E4267B"/>
    <w:rsid w:val="00E42F13"/>
    <w:rsid w:val="00E452DF"/>
    <w:rsid w:val="00E543CF"/>
    <w:rsid w:val="00E546FD"/>
    <w:rsid w:val="00E608F1"/>
    <w:rsid w:val="00E611B9"/>
    <w:rsid w:val="00E7144F"/>
    <w:rsid w:val="00E73D74"/>
    <w:rsid w:val="00E76A79"/>
    <w:rsid w:val="00E80692"/>
    <w:rsid w:val="00E80C24"/>
    <w:rsid w:val="00E92CA0"/>
    <w:rsid w:val="00E93836"/>
    <w:rsid w:val="00EA7C16"/>
    <w:rsid w:val="00EC5281"/>
    <w:rsid w:val="00EC791D"/>
    <w:rsid w:val="00EC7CA6"/>
    <w:rsid w:val="00ED3C5D"/>
    <w:rsid w:val="00ED4553"/>
    <w:rsid w:val="00EE5EE3"/>
    <w:rsid w:val="00F00D08"/>
    <w:rsid w:val="00F15583"/>
    <w:rsid w:val="00F200EE"/>
    <w:rsid w:val="00F22481"/>
    <w:rsid w:val="00F2542E"/>
    <w:rsid w:val="00F27278"/>
    <w:rsid w:val="00F344E3"/>
    <w:rsid w:val="00F34D58"/>
    <w:rsid w:val="00F41A9D"/>
    <w:rsid w:val="00F44314"/>
    <w:rsid w:val="00F52F7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5D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97848D-0AF6-4067-B39B-3FD119E48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2374F"/>
  </w:style>
  <w:style w:type="paragraph" w:styleId="BalloonText">
    <w:name w:val="Balloon Text"/>
    <w:basedOn w:val="Normal"/>
    <w:link w:val="BalloonTextChar"/>
    <w:semiHidden/>
    <w:unhideWhenUsed/>
    <w:rsid w:val="001248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8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608</Words>
  <Characters>3328</Characters>
  <Application>Microsoft Office Word</Application>
  <DocSecurity>0</DocSecurity>
  <Lines>95</Lines>
  <Paragraphs>33</Paragraphs>
  <ScaleCrop>false</ScaleCrop>
  <HeadingPairs>
    <vt:vector size="2" baseType="variant">
      <vt:variant>
        <vt:lpstr>Title</vt:lpstr>
      </vt:variant>
      <vt:variant>
        <vt:i4>1</vt:i4>
      </vt:variant>
    </vt:vector>
  </HeadingPairs>
  <TitlesOfParts>
    <vt:vector size="1" baseType="lpstr">
      <vt:lpstr>S908 2R</vt:lpstr>
    </vt:vector>
  </TitlesOfParts>
  <Manager>R224</Manager>
  <Company>NJ Office of Legislative Services</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S908 2R</dc:title>
  <dc:subject/>
  <dc:creator>Senator  SINGLETON, Senator  OROHO</dc:creator>
  <cp:keywords>S908|3|LG |264|320|252|!||</cp:keywords>
  <dc:description>INTRODUCED JANUARY 27, 2020_x000d_
Amended 3/5/20_x000d_
Amended by CV 8/27/20</dc:description>
  <cp:lastModifiedBy>Franks, Denise</cp:lastModifiedBy>
  <cp:revision>2</cp:revision>
  <cp:lastPrinted>2020-08-28T16:27:00Z</cp:lastPrinted>
  <dcterms:created xsi:type="dcterms:W3CDTF">2020-08-28T17:40:00Z</dcterms:created>
  <dcterms:modified xsi:type="dcterms:W3CDTF">2020-08-28T17:40:00Z</dcterms:modified>
  <cp:category>ss.1-2: C.45:22A-46.17 et seq. to P.L.2019/277_x000d_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