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76F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576F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76FB">
        <w:rPr>
          <w:caps/>
          <w:szCs w:val="24"/>
        </w:rPr>
        <w:t>JANUARY 21, 2021</w:t>
      </w:r>
    </w:p>
    <w:p w:rsidR="004144CF" w:rsidRDefault="004144CF" w:rsidP="0083060A"/>
    <w:p w:rsidR="00554C07" w:rsidRDefault="00554C07" w:rsidP="00554C07">
      <w:r>
        <w:tab/>
        <w:t>The Senate Budget and Appropriations Committee reports favorably Senate Bill No. 975.</w:t>
      </w:r>
    </w:p>
    <w:p w:rsidR="00554C07" w:rsidRDefault="00D236E9" w:rsidP="00554C07">
      <w:r>
        <w:tab/>
        <w:t xml:space="preserve">This bill </w:t>
      </w:r>
      <w:r w:rsidR="00554C07">
        <w:t>make</w:t>
      </w:r>
      <w:r>
        <w:t>s</w:t>
      </w:r>
      <w:r w:rsidR="00554C07">
        <w:t xml:space="preserve"> it unlawful to engage in, facilitate, or provide the means to engage in trunk fighting.  Under the bill, “trunk fighting” means the practice of enclosing two or more animals in the trunk or any part of a motor vehicle for the purpose of the animals attacking each other, and possibly fighting until one or more of the animals are dead.  A person who violates the bill would be guilty of a crime of the third degree and be subject to a civil penalty of between $3,000 and $5,000.  </w:t>
      </w:r>
    </w:p>
    <w:p w:rsidR="00554C07" w:rsidRDefault="00554C07" w:rsidP="00554C07"/>
    <w:p w:rsidR="00554C07" w:rsidRDefault="00554C07" w:rsidP="00554C07">
      <w:r>
        <w:rPr>
          <w:u w:val="double"/>
        </w:rPr>
        <w:t>FISCAL IMPACT</w:t>
      </w:r>
      <w:r>
        <w:t>:</w:t>
      </w:r>
    </w:p>
    <w:p w:rsidR="004B2ABF" w:rsidRDefault="00554C07" w:rsidP="00F01151">
      <w:r>
        <w:tab/>
      </w:r>
      <w:r w:rsidR="00D236E9">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6FB" w:rsidRDefault="002576FB">
      <w:r>
        <w:separator/>
      </w:r>
    </w:p>
  </w:endnote>
  <w:endnote w:type="continuationSeparator" w:id="0">
    <w:p w:rsidR="002576FB" w:rsidRDefault="00257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6FB" w:rsidRDefault="002576FB">
      <w:r>
        <w:separator/>
      </w:r>
    </w:p>
  </w:footnote>
  <w:footnote w:type="continuationSeparator" w:id="0">
    <w:p w:rsidR="002576FB" w:rsidRDefault="00257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01151" w:rsidP="00F01151">
    <w:pPr>
      <w:pStyle w:val="HeaderPage2"/>
      <w:jc w:val="center"/>
    </w:pPr>
    <w:r>
      <w:fldChar w:fldCharType="begin"/>
    </w:r>
    <w:r>
      <w:instrText xml:space="preserve"> PAGE  \* MERGEFORMAT </w:instrText>
    </w:r>
    <w:r>
      <w:fldChar w:fldCharType="separate"/>
    </w:r>
    <w:r>
      <w:rPr>
        <w:noProof/>
      </w:rPr>
      <w:t>2</w:t>
    </w:r>
    <w:r>
      <w:fldChar w:fldCharType="end"/>
    </w:r>
  </w:p>
  <w:p w:rsidR="00F01151" w:rsidRDefault="00F01151" w:rsidP="00F011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6F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26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6FB"/>
    <w:rsid w:val="00263BD8"/>
    <w:rsid w:val="002746FB"/>
    <w:rsid w:val="002755C2"/>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C0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72C"/>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57D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A0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889"/>
    <w:rsid w:val="00B07B1C"/>
    <w:rsid w:val="00B1015F"/>
    <w:rsid w:val="00B1280B"/>
    <w:rsid w:val="00B15315"/>
    <w:rsid w:val="00B20E36"/>
    <w:rsid w:val="00B215A6"/>
    <w:rsid w:val="00B30EC1"/>
    <w:rsid w:val="00B43C57"/>
    <w:rsid w:val="00B45AAC"/>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511"/>
    <w:rsid w:val="00CF6E1F"/>
    <w:rsid w:val="00D05E75"/>
    <w:rsid w:val="00D22C02"/>
    <w:rsid w:val="00D236E9"/>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15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CACDC38-7380-440D-B1BF-EE0335D1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1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1A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133</Words>
  <Characters>632</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S975 BUDGET AND APPROPRIATIONS Statement JANUARY 21, 2021</vt:lpstr>
    </vt:vector>
  </TitlesOfParts>
  <Manager>R229</Manager>
  <Company>NJ OLS DMU</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S975 SBA Statement 1/21/21</dc:title>
  <dc:subject/>
  <dc:creator>Senate SBA</dc:creator>
  <cp:keywords>S975|1|RF |308|0|0|!||</cp:keywords>
  <dc:description/>
  <cp:lastModifiedBy>Brabson, Dawn</cp:lastModifiedBy>
  <cp:revision>2</cp:revision>
  <cp:lastPrinted>2021-01-21T18:44:00Z</cp:lastPrinted>
  <dcterms:created xsi:type="dcterms:W3CDTF">2021-01-22T18:30:00Z</dcterms:created>
  <dcterms:modified xsi:type="dcterms:W3CDTF">2021-01-22T18:30:00Z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