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F4E66" w:rsidP="00407C9E">
      <w:pPr>
        <w:pStyle w:val="NoteOrEstimate"/>
      </w:pPr>
      <w:r>
        <w:t>LEGISLATIVE FISCAL ESTIMATE</w:t>
      </w:r>
    </w:p>
    <w:p w:rsidR="003C5892" w:rsidRDefault="00DF4E6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986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037F9" w:rsidP="002037F9">
      <w:pPr>
        <w:pStyle w:val="BillNo"/>
      </w:pPr>
      <w:r>
        <w:t>219th LEGISLATURE</w:t>
      </w:r>
    </w:p>
    <w:p w:rsidR="00353325" w:rsidRDefault="00353325" w:rsidP="00353325"/>
    <w:p w:rsidR="002037F9" w:rsidRDefault="002037F9" w:rsidP="002037F9">
      <w:pPr>
        <w:jc w:val="center"/>
      </w:pPr>
      <w:r>
        <w:t>DATED: MAY 5, 2021</w:t>
      </w:r>
    </w:p>
    <w:p w:rsidR="002037F9" w:rsidRDefault="002037F9" w:rsidP="00353325"/>
    <w:p w:rsidR="002037F9" w:rsidRDefault="002037F9" w:rsidP="00353325"/>
    <w:p w:rsidR="00E76FCC" w:rsidRPr="003C5892" w:rsidRDefault="00E76FCC" w:rsidP="00E76FCC">
      <w:pPr>
        <w:pStyle w:val="SectionHeading"/>
        <w:tabs>
          <w:tab w:val="left" w:pos="360"/>
          <w:tab w:val="left" w:pos="720"/>
          <w:tab w:val="left" w:pos="1440"/>
          <w:tab w:val="left" w:pos="2160"/>
          <w:tab w:val="left" w:pos="2880"/>
          <w:tab w:val="left" w:pos="3600"/>
          <w:tab w:val="left" w:pos="4320"/>
          <w:tab w:val="left" w:pos="5040"/>
        </w:tabs>
      </w:pPr>
      <w:r>
        <w:t>SUMMARY</w:t>
      </w:r>
    </w:p>
    <w:p w:rsidR="00E76FCC" w:rsidRDefault="00E76FCC" w:rsidP="00E76FC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E76FCC" w:rsidTr="00F2168D">
        <w:trPr>
          <w:trHeight w:val="576"/>
        </w:trPr>
        <w:tc>
          <w:tcPr>
            <w:tcW w:w="2333" w:type="dxa"/>
          </w:tcPr>
          <w:p w:rsidR="00E76FCC" w:rsidRPr="003C5892" w:rsidRDefault="00E76FCC" w:rsidP="00F2168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76FCC" w:rsidRDefault="00E76FCC" w:rsidP="00F2168D">
            <w:r>
              <w:t>Establishes surplus revenue reserve account in the Property Tax Relief Fund if certain levels of unanticipated gross income tax revenue are collected.</w:t>
            </w:r>
          </w:p>
        </w:tc>
      </w:tr>
      <w:tr w:rsidR="00E76FCC" w:rsidTr="00F2168D">
        <w:trPr>
          <w:trHeight w:val="576"/>
        </w:trPr>
        <w:tc>
          <w:tcPr>
            <w:tcW w:w="2333" w:type="dxa"/>
          </w:tcPr>
          <w:p w:rsidR="00E76FCC" w:rsidRPr="003C5892" w:rsidRDefault="00E76FCC" w:rsidP="00F2168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76FCC" w:rsidRDefault="00E76FCC" w:rsidP="00F2168D">
            <w:r>
              <w:rPr>
                <w:color w:val="000000"/>
              </w:rPr>
              <w:t xml:space="preserve">Potential reallocation of unrestricted surplus revenues from Property Tax Relief Fund to restricted </w:t>
            </w:r>
            <w:r>
              <w:t>Surplus Gross Income Tax Revenue Account.</w:t>
            </w:r>
          </w:p>
        </w:tc>
      </w:tr>
      <w:tr w:rsidR="00E76FCC" w:rsidTr="00F2168D">
        <w:trPr>
          <w:trHeight w:val="576"/>
        </w:trPr>
        <w:tc>
          <w:tcPr>
            <w:tcW w:w="2333" w:type="dxa"/>
          </w:tcPr>
          <w:p w:rsidR="00E76FCC" w:rsidRPr="003C5892" w:rsidRDefault="00E76FCC" w:rsidP="00F2168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76FCC" w:rsidRDefault="00E76FCC" w:rsidP="00F2168D">
            <w:r>
              <w:t>Department of the Treasury.</w:t>
            </w:r>
          </w:p>
        </w:tc>
      </w:tr>
    </w:tbl>
    <w:p w:rsidR="00E76FCC" w:rsidRDefault="00E76FCC" w:rsidP="00E76FCC">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1455"/>
        <w:gridCol w:w="4410"/>
        <w:gridCol w:w="1620"/>
        <w:gridCol w:w="15"/>
      </w:tblGrid>
      <w:tr w:rsidR="00E76FCC" w:rsidTr="00F2168D">
        <w:trPr>
          <w:trHeight w:val="410"/>
        </w:trPr>
        <w:tc>
          <w:tcPr>
            <w:tcW w:w="9375" w:type="dxa"/>
            <w:gridSpan w:val="5"/>
            <w:tcBorders>
              <w:top w:val="nil"/>
              <w:left w:val="nil"/>
              <w:bottom w:val="nil"/>
              <w:right w:val="nil"/>
            </w:tcBorders>
            <w:vAlign w:val="bottom"/>
          </w:tcPr>
          <w:p w:rsidR="00E76FCC" w:rsidRPr="00F11982" w:rsidRDefault="00E76FCC" w:rsidP="00F2168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76FCC" w:rsidTr="00F2168D">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E76FCC" w:rsidRPr="00F11982" w:rsidRDefault="00E76FCC" w:rsidP="00F2168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455" w:type="dxa"/>
            <w:tcBorders>
              <w:top w:val="single" w:sz="6" w:space="0" w:color="auto"/>
              <w:left w:val="nil"/>
              <w:bottom w:val="single" w:sz="12" w:space="0" w:color="auto"/>
              <w:right w:val="nil"/>
            </w:tcBorders>
            <w:shd w:val="pct20" w:color="auto" w:fill="auto"/>
            <w:vAlign w:val="bottom"/>
          </w:tcPr>
          <w:p w:rsidR="00E76FCC" w:rsidRPr="00F11982" w:rsidRDefault="00E76FCC" w:rsidP="00F2168D">
            <w:pPr>
              <w:tabs>
                <w:tab w:val="left" w:pos="360"/>
                <w:tab w:val="left" w:pos="720"/>
                <w:tab w:val="left" w:pos="1440"/>
                <w:tab w:val="left" w:pos="2160"/>
                <w:tab w:val="left" w:pos="2880"/>
                <w:tab w:val="left" w:pos="3600"/>
                <w:tab w:val="left" w:pos="4320"/>
                <w:tab w:val="left" w:pos="5040"/>
              </w:tabs>
              <w:jc w:val="center"/>
              <w:rPr>
                <w:b/>
              </w:rPr>
            </w:pPr>
          </w:p>
        </w:tc>
        <w:tc>
          <w:tcPr>
            <w:tcW w:w="4410" w:type="dxa"/>
            <w:tcBorders>
              <w:top w:val="single" w:sz="6" w:space="0" w:color="auto"/>
              <w:left w:val="nil"/>
              <w:bottom w:val="single" w:sz="12" w:space="0" w:color="auto"/>
              <w:right w:val="nil"/>
            </w:tcBorders>
            <w:shd w:val="pct20" w:color="auto" w:fill="auto"/>
            <w:vAlign w:val="bottom"/>
          </w:tcPr>
          <w:p w:rsidR="00E76FCC" w:rsidRPr="00F11982" w:rsidRDefault="007C6C1A" w:rsidP="00BA7A09">
            <w:pPr>
              <w:tabs>
                <w:tab w:val="left" w:pos="360"/>
                <w:tab w:val="left" w:pos="720"/>
                <w:tab w:val="left" w:pos="1440"/>
                <w:tab w:val="left" w:pos="2160"/>
                <w:tab w:val="left" w:pos="2880"/>
                <w:tab w:val="left" w:pos="3600"/>
                <w:tab w:val="left" w:pos="4320"/>
                <w:tab w:val="left" w:pos="5040"/>
              </w:tabs>
              <w:jc w:val="center"/>
              <w:rPr>
                <w:b/>
              </w:rPr>
            </w:pPr>
            <w:r>
              <w:rPr>
                <w:b/>
                <w:bCs/>
                <w:color w:val="000000"/>
                <w:u w:val="single"/>
              </w:rPr>
              <w:t>Annual</w:t>
            </w:r>
          </w:p>
        </w:tc>
        <w:tc>
          <w:tcPr>
            <w:tcW w:w="1620" w:type="dxa"/>
            <w:tcBorders>
              <w:top w:val="single" w:sz="6" w:space="0" w:color="auto"/>
              <w:left w:val="nil"/>
              <w:bottom w:val="single" w:sz="12" w:space="0" w:color="auto"/>
              <w:right w:val="single" w:sz="6" w:space="0" w:color="auto"/>
            </w:tcBorders>
            <w:shd w:val="pct20" w:color="auto" w:fill="auto"/>
            <w:vAlign w:val="bottom"/>
          </w:tcPr>
          <w:p w:rsidR="00E76FCC" w:rsidRPr="00F11982" w:rsidRDefault="00E76FCC" w:rsidP="00F2168D">
            <w:pPr>
              <w:tabs>
                <w:tab w:val="left" w:pos="360"/>
                <w:tab w:val="left" w:pos="720"/>
                <w:tab w:val="left" w:pos="1440"/>
                <w:tab w:val="left" w:pos="2160"/>
                <w:tab w:val="left" w:pos="2880"/>
                <w:tab w:val="left" w:pos="3600"/>
                <w:tab w:val="left" w:pos="4320"/>
                <w:tab w:val="left" w:pos="5040"/>
              </w:tabs>
              <w:jc w:val="center"/>
              <w:rPr>
                <w:b/>
              </w:rPr>
            </w:pPr>
          </w:p>
        </w:tc>
      </w:tr>
      <w:tr w:rsidR="00E76FCC" w:rsidTr="00F2168D">
        <w:trPr>
          <w:gridAfter w:val="1"/>
          <w:wAfter w:w="15" w:type="dxa"/>
          <w:trHeight w:val="410"/>
        </w:trPr>
        <w:tc>
          <w:tcPr>
            <w:tcW w:w="1875" w:type="dxa"/>
            <w:tcBorders>
              <w:top w:val="nil"/>
              <w:left w:val="single" w:sz="6" w:space="0" w:color="auto"/>
              <w:bottom w:val="nil"/>
              <w:right w:val="nil"/>
            </w:tcBorders>
            <w:tcMar>
              <w:bottom w:w="29" w:type="dxa"/>
            </w:tcMar>
            <w:vAlign w:val="center"/>
          </w:tcPr>
          <w:p w:rsidR="00E76FCC" w:rsidRPr="00F11982" w:rsidRDefault="00E76FCC" w:rsidP="00F2168D">
            <w:pPr>
              <w:tabs>
                <w:tab w:val="left" w:pos="360"/>
                <w:tab w:val="left" w:pos="720"/>
                <w:tab w:val="left" w:pos="1440"/>
                <w:tab w:val="left" w:pos="2160"/>
                <w:tab w:val="left" w:pos="2880"/>
                <w:tab w:val="left" w:pos="3600"/>
                <w:tab w:val="left" w:pos="4320"/>
                <w:tab w:val="left" w:pos="5040"/>
              </w:tabs>
              <w:jc w:val="center"/>
              <w:rPr>
                <w:b/>
              </w:rPr>
            </w:pPr>
            <w:r w:rsidRPr="00F11982">
              <w:rPr>
                <w:b/>
              </w:rPr>
              <w:t>State Revenue</w:t>
            </w:r>
          </w:p>
        </w:tc>
        <w:tc>
          <w:tcPr>
            <w:tcW w:w="7485" w:type="dxa"/>
            <w:gridSpan w:val="3"/>
            <w:tcBorders>
              <w:top w:val="nil"/>
              <w:left w:val="nil"/>
              <w:bottom w:val="nil"/>
              <w:right w:val="single" w:sz="6" w:space="0" w:color="auto"/>
            </w:tcBorders>
            <w:tcMar>
              <w:bottom w:w="29" w:type="dxa"/>
            </w:tcMar>
            <w:vAlign w:val="bottom"/>
          </w:tcPr>
          <w:p w:rsidR="00E76FCC" w:rsidRDefault="00E76FCC" w:rsidP="00F2168D">
            <w:pPr>
              <w:tabs>
                <w:tab w:val="left" w:pos="360"/>
                <w:tab w:val="left" w:pos="720"/>
                <w:tab w:val="left" w:pos="1440"/>
                <w:tab w:val="left" w:pos="2160"/>
                <w:tab w:val="left" w:pos="2880"/>
                <w:tab w:val="left" w:pos="3600"/>
                <w:tab w:val="left" w:pos="4320"/>
                <w:tab w:val="left" w:pos="5040"/>
              </w:tabs>
              <w:jc w:val="center"/>
            </w:pPr>
            <w:r>
              <w:rPr>
                <w:color w:val="000000"/>
              </w:rPr>
              <w:t xml:space="preserve">Potential reallocation of surplus revenues from Property Tax Relief Fund to </w:t>
            </w:r>
            <w:r>
              <w:t>Surplus Gross Income Tax Revenue Account</w:t>
            </w:r>
          </w:p>
        </w:tc>
      </w:tr>
      <w:tr w:rsidR="00E76FCC" w:rsidTr="00F2168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76FCC" w:rsidRDefault="00E76FCC" w:rsidP="00F2168D">
            <w:pPr>
              <w:tabs>
                <w:tab w:val="left" w:pos="360"/>
                <w:tab w:val="left" w:pos="720"/>
                <w:tab w:val="left" w:pos="1440"/>
                <w:tab w:val="left" w:pos="2160"/>
                <w:tab w:val="left" w:pos="2880"/>
                <w:tab w:val="left" w:pos="3600"/>
                <w:tab w:val="left" w:pos="4320"/>
                <w:tab w:val="left" w:pos="5040"/>
              </w:tabs>
            </w:pPr>
          </w:p>
        </w:tc>
      </w:tr>
    </w:tbl>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C66943" w:rsidP="002037F9">
      <w:pPr>
        <w:pStyle w:val="StyleBulletedSymbolsymbol"/>
        <w:spacing w:after="0"/>
      </w:pPr>
      <w:r>
        <w:t>The Office of Legislative Services (OLS) notes that t</w:t>
      </w:r>
      <w:r w:rsidR="00E76FCC" w:rsidRPr="00373387">
        <w:t xml:space="preserve">he bill establishes a Surplus Gross Income Tax Revenue Account in the Property Tax Relief Fund.  However, the </w:t>
      </w:r>
      <w:r w:rsidR="00E76FCC">
        <w:t>Surplus Gross Income Tax Revenue Account</w:t>
      </w:r>
      <w:r w:rsidR="00E76FCC" w:rsidRPr="00373387">
        <w:t xml:space="preserve"> is funded through existing gross income tax revenues </w:t>
      </w:r>
      <w:r w:rsidR="00E76FCC">
        <w:t>in the event there is a surplus.</w:t>
      </w:r>
      <w:r w:rsidR="00E76FCC" w:rsidRPr="00373387">
        <w:t xml:space="preserve"> </w:t>
      </w:r>
      <w:r w:rsidR="00E76FCC">
        <w:t>T</w:t>
      </w:r>
      <w:r w:rsidR="00E76FCC" w:rsidRPr="00373387">
        <w:t>he bill does not establish a new revenue source.</w:t>
      </w:r>
    </w:p>
    <w:p w:rsidR="002037F9" w:rsidRDefault="002037F9" w:rsidP="002037F9">
      <w:pPr>
        <w:pStyle w:val="StyleBulletedSymbolsymbol"/>
        <w:numPr>
          <w:ilvl w:val="0"/>
          <w:numId w:val="0"/>
        </w:numPr>
        <w:spacing w:after="0"/>
        <w:ind w:left="360" w:hanging="360"/>
      </w:pPr>
    </w:p>
    <w:p w:rsidR="00E76FCC" w:rsidRDefault="005677AE" w:rsidP="002037F9">
      <w:pPr>
        <w:pStyle w:val="StyleBulletedSymbolsymbol"/>
        <w:spacing w:after="0"/>
      </w:pPr>
      <w:r>
        <w:t>T</w:t>
      </w:r>
      <w:r w:rsidRPr="005677AE">
        <w:t>he bill may restrict future Legislatures from enacting an increase in the gross income tax rate or modifying the gross income tax in a manner that would generate more gross income tax revenue.</w:t>
      </w:r>
    </w:p>
    <w:p w:rsidR="00E76FCC" w:rsidRDefault="00E76FCC" w:rsidP="00E76FCC"/>
    <w:p w:rsidR="002037F9" w:rsidRDefault="002037F9" w:rsidP="00E76FCC"/>
    <w:p w:rsidR="00E76FCC" w:rsidRPr="00255944" w:rsidRDefault="00E76FCC" w:rsidP="00E76FC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tabs>
          <w:tab w:val="left" w:pos="360"/>
          <w:tab w:val="left" w:pos="720"/>
          <w:tab w:val="left" w:pos="1440"/>
          <w:tab w:val="left" w:pos="2160"/>
          <w:tab w:val="left" w:pos="2880"/>
          <w:tab w:val="left" w:pos="3600"/>
          <w:tab w:val="left" w:pos="4320"/>
          <w:tab w:val="left" w:pos="5040"/>
        </w:tabs>
      </w:pPr>
      <w:r w:rsidRPr="00255944">
        <w:tab/>
      </w:r>
      <w:r>
        <w:t>This bill establishes a Surplus Gross Income Tax Revenue Account in the Property Tax Relief Fund to serve as a “rainy day fund” for property tax relief programs and State Aid programs that offset local property taxes.  The State Treasurer is required to credit to the Surplus Gross Income Tax Revenue Account, on or before December 31</w:t>
      </w:r>
      <w:r w:rsidR="00C66943">
        <w:t xml:space="preserve"> annually</w:t>
      </w:r>
      <w:r>
        <w:t>, an amount equal to one-half of the excess gross income tax revenue collected during the preceding fiscal year if actual gross income tax revenues exceed the Governor’s certified revenues by more than six percent.</w:t>
      </w:r>
    </w:p>
    <w:p w:rsidR="00E76FCC" w:rsidRDefault="00E76FCC" w:rsidP="00E76FCC">
      <w:pPr>
        <w:tabs>
          <w:tab w:val="left" w:pos="360"/>
          <w:tab w:val="left" w:pos="720"/>
          <w:tab w:val="left" w:pos="1440"/>
          <w:tab w:val="left" w:pos="2160"/>
          <w:tab w:val="left" w:pos="2880"/>
          <w:tab w:val="left" w:pos="3600"/>
          <w:tab w:val="left" w:pos="4320"/>
          <w:tab w:val="left" w:pos="5040"/>
        </w:tabs>
      </w:pPr>
      <w:r>
        <w:tab/>
        <w:t xml:space="preserve">Balances in the Surplus Gross Income Tax Revenue Account may be appropriated by the Legislature: 1) if anticipated gross income tax revenues are estimated to be less than the </w:t>
      </w:r>
      <w:r>
        <w:lastRenderedPageBreak/>
        <w:t>Governor’s certification; 2) to offset gross income tax revenue declines instead of increasing the gross income tax rate or modifying the gross income tax; or 3) for meeting the costs of any emergency identified by the Governor that is within the purposes of the Property Tax Relief Fund.</w:t>
      </w:r>
    </w:p>
    <w:p w:rsidR="00E76FCC" w:rsidRDefault="00E76FCC" w:rsidP="00E76FCC">
      <w:pPr>
        <w:tabs>
          <w:tab w:val="left" w:pos="360"/>
          <w:tab w:val="left" w:pos="720"/>
          <w:tab w:val="left" w:pos="1440"/>
          <w:tab w:val="left" w:pos="2160"/>
          <w:tab w:val="left" w:pos="2880"/>
          <w:tab w:val="left" w:pos="3600"/>
          <w:tab w:val="left" w:pos="4320"/>
          <w:tab w:val="left" w:pos="5040"/>
        </w:tabs>
      </w:pPr>
      <w:r>
        <w:tab/>
        <w:t>If in any fiscal year there is enacted an appropriation from the Surplus Gross Income Tax Revenue Account, the Legislature is prohibited from imposing any increases in existing gross income tax rates or gross income tax modifications having the effect of increasing gross income tax revenues.  However, if gross income tax revenues decline by at least two percent of the total available gross income tax revenues as certified by the Governor, the Legislature may increase gross income tax rates or modify the gross income tax, and the balances in the Surplus Gross Income Tax Revenue Account may be appropriated in any other manner as found to be in the best interests of the fiscal condition of the Property Tax Relief Fund.</w:t>
      </w: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pStyle w:val="SectionHeading"/>
        <w:tabs>
          <w:tab w:val="left" w:pos="360"/>
          <w:tab w:val="left" w:pos="720"/>
          <w:tab w:val="left" w:pos="1440"/>
          <w:tab w:val="left" w:pos="2160"/>
          <w:tab w:val="left" w:pos="2880"/>
          <w:tab w:val="left" w:pos="3600"/>
          <w:tab w:val="left" w:pos="4320"/>
          <w:tab w:val="left" w:pos="5040"/>
        </w:tabs>
      </w:pPr>
      <w:r>
        <w:t>FISCAL ANALYSIS</w:t>
      </w: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pStyle w:val="InterSectionHeading"/>
        <w:tabs>
          <w:tab w:val="left" w:pos="720"/>
          <w:tab w:val="left" w:pos="1440"/>
          <w:tab w:val="left" w:pos="2160"/>
          <w:tab w:val="left" w:pos="2880"/>
          <w:tab w:val="left" w:pos="3600"/>
          <w:tab w:val="left" w:pos="4320"/>
          <w:tab w:val="left" w:pos="5040"/>
        </w:tabs>
      </w:pPr>
      <w:r>
        <w:t>EXECUTIVE BRANCH</w:t>
      </w: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tabs>
          <w:tab w:val="left" w:pos="360"/>
          <w:tab w:val="left" w:pos="720"/>
          <w:tab w:val="left" w:pos="1440"/>
          <w:tab w:val="left" w:pos="2160"/>
          <w:tab w:val="left" w:pos="2880"/>
          <w:tab w:val="left" w:pos="3600"/>
          <w:tab w:val="left" w:pos="4320"/>
          <w:tab w:val="left" w:pos="5040"/>
        </w:tabs>
      </w:pPr>
      <w:r>
        <w:tab/>
        <w:t>None received.</w:t>
      </w: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pStyle w:val="InterSectionHeading"/>
        <w:tabs>
          <w:tab w:val="left" w:pos="720"/>
          <w:tab w:val="left" w:pos="1440"/>
          <w:tab w:val="left" w:pos="2160"/>
          <w:tab w:val="left" w:pos="2880"/>
          <w:tab w:val="left" w:pos="3600"/>
          <w:tab w:val="left" w:pos="4320"/>
          <w:tab w:val="left" w:pos="5040"/>
        </w:tabs>
      </w:pPr>
      <w:r>
        <w:t>OFFICE OF LEGISLATIVE SERVICES</w:t>
      </w:r>
    </w:p>
    <w:p w:rsidR="00E76FCC" w:rsidRDefault="00E76FCC" w:rsidP="00E76FCC">
      <w:pPr>
        <w:tabs>
          <w:tab w:val="left" w:pos="360"/>
          <w:tab w:val="left" w:pos="720"/>
          <w:tab w:val="left" w:pos="1440"/>
          <w:tab w:val="left" w:pos="2160"/>
          <w:tab w:val="left" w:pos="2880"/>
          <w:tab w:val="left" w:pos="3600"/>
          <w:tab w:val="left" w:pos="4320"/>
          <w:tab w:val="left" w:pos="5040"/>
        </w:tabs>
      </w:pPr>
    </w:p>
    <w:p w:rsidR="00E76FCC" w:rsidRDefault="00E76FCC" w:rsidP="00E76FCC">
      <w:pPr>
        <w:tabs>
          <w:tab w:val="left" w:pos="360"/>
          <w:tab w:val="left" w:pos="720"/>
          <w:tab w:val="left" w:pos="1440"/>
          <w:tab w:val="left" w:pos="2160"/>
          <w:tab w:val="left" w:pos="2880"/>
          <w:tab w:val="left" w:pos="3600"/>
          <w:tab w:val="left" w:pos="4320"/>
          <w:tab w:val="left" w:pos="5040"/>
        </w:tabs>
      </w:pPr>
      <w:r>
        <w:tab/>
      </w:r>
      <w:r w:rsidR="002D5AF4">
        <w:t>T</w:t>
      </w:r>
      <w:r>
        <w:t xml:space="preserve">he </w:t>
      </w:r>
      <w:r w:rsidR="007C6C1A">
        <w:t xml:space="preserve">OLS notes that the bill </w:t>
      </w:r>
      <w:r>
        <w:t>establishes a Surplus Gross Income Tax Revenue Account in the Property Tax Relief Fund.  However,</w:t>
      </w:r>
      <w:r w:rsidRPr="005D73B1">
        <w:t xml:space="preserve"> </w:t>
      </w:r>
      <w:r>
        <w:t xml:space="preserve">the bill does not establish a new revenue source; the account is funded through existing gross income tax revenues in the event there is a surplus. </w:t>
      </w:r>
      <w:r w:rsidR="007C6C1A">
        <w:t xml:space="preserve"> </w:t>
      </w:r>
      <w:r>
        <w:t>If actual gross income tax revenues deposited into the Property Tax Relief Fund exceed the Governor’s certified gross income tax revenues for a given fiscal year by more than six percent of the certified amount, half of the excess is to be deposited into the account.</w:t>
      </w:r>
    </w:p>
    <w:p w:rsidR="00A64FD5" w:rsidRDefault="00E76FCC" w:rsidP="00E76FCC">
      <w:pPr>
        <w:tabs>
          <w:tab w:val="left" w:pos="360"/>
          <w:tab w:val="left" w:pos="720"/>
          <w:tab w:val="left" w:pos="1440"/>
          <w:tab w:val="left" w:pos="2160"/>
          <w:tab w:val="left" w:pos="2880"/>
          <w:tab w:val="left" w:pos="3600"/>
          <w:tab w:val="left" w:pos="4320"/>
          <w:tab w:val="left" w:pos="5040"/>
        </w:tabs>
      </w:pPr>
      <w:r>
        <w:tab/>
        <w:t>For example, the amount of gross income tax revenue certified by the Governor for FY 20</w:t>
      </w:r>
      <w:r w:rsidR="003101AF">
        <w:t>20</w:t>
      </w:r>
      <w:r>
        <w:t xml:space="preserve"> </w:t>
      </w:r>
      <w:r w:rsidR="003101AF">
        <w:t>was</w:t>
      </w:r>
      <w:r>
        <w:t xml:space="preserve"> $</w:t>
      </w:r>
      <w:r w:rsidR="003101AF">
        <w:t>16.5</w:t>
      </w:r>
      <w:r>
        <w:t xml:space="preserve"> billion.  In order for the account to be eligible for a credit, the actual amount of revenue deposited from the gross income tax during FY 20</w:t>
      </w:r>
      <w:r w:rsidR="003101AF">
        <w:t>20</w:t>
      </w:r>
      <w:r>
        <w:t xml:space="preserve"> ha</w:t>
      </w:r>
      <w:r w:rsidR="003101AF">
        <w:t>d</w:t>
      </w:r>
      <w:r>
        <w:t xml:space="preserve"> to exceed the certified amount by more than six percent.  Thus, approximately $</w:t>
      </w:r>
      <w:r w:rsidR="003101AF">
        <w:t>17.5</w:t>
      </w:r>
      <w:r>
        <w:t xml:space="preserve"> billion, an amount equal to $</w:t>
      </w:r>
      <w:r w:rsidR="003101AF">
        <w:t>1.0 billion</w:t>
      </w:r>
      <w:r>
        <w:t xml:space="preserve"> above the certified amount, would </w:t>
      </w:r>
      <w:r w:rsidR="003101AF">
        <w:t>be necessary in</w:t>
      </w:r>
      <w:r>
        <w:t xml:space="preserve"> order for the account to be eligible to receive the credit.  The deposit would be equal to half of the excess, or about $</w:t>
      </w:r>
      <w:r w:rsidR="003101AF">
        <w:t>500</w:t>
      </w:r>
      <w:r>
        <w:t xml:space="preserve"> million.</w:t>
      </w:r>
      <w:r w:rsidR="003101AF">
        <w:t xml:space="preserve">  The actual variance between the certified amounts and audited collections has not exceeded six percent at any point during the past </w:t>
      </w:r>
      <w:r w:rsidR="00A64FD5">
        <w:t>six</w:t>
      </w:r>
      <w:r w:rsidR="003101AF">
        <w:t xml:space="preserve"> fiscal years</w:t>
      </w:r>
      <w:r w:rsidR="00A64FD5">
        <w:t xml:space="preserve"> (Figure 1)</w:t>
      </w:r>
      <w:r w:rsidR="003101AF">
        <w:t xml:space="preserve">.  </w:t>
      </w:r>
    </w:p>
    <w:p w:rsidR="00A64FD5" w:rsidRPr="00A64FD5" w:rsidRDefault="00A64FD5" w:rsidP="00A64FD5">
      <w:pPr>
        <w:tabs>
          <w:tab w:val="left" w:pos="360"/>
          <w:tab w:val="left" w:pos="720"/>
          <w:tab w:val="left" w:pos="1440"/>
          <w:tab w:val="left" w:pos="2160"/>
          <w:tab w:val="left" w:pos="2880"/>
          <w:tab w:val="left" w:pos="3600"/>
          <w:tab w:val="left" w:pos="4320"/>
          <w:tab w:val="left" w:pos="5040"/>
        </w:tabs>
        <w:spacing w:line="240" w:lineRule="auto"/>
        <w:rPr>
          <w:sz w:val="4"/>
        </w:rPr>
      </w:pPr>
    </w:p>
    <w:p w:rsidR="00A64FD5" w:rsidRDefault="00F1086D" w:rsidP="00A64FD5">
      <w:pPr>
        <w:keepNext/>
        <w:tabs>
          <w:tab w:val="left" w:pos="360"/>
          <w:tab w:val="left" w:pos="720"/>
          <w:tab w:val="left" w:pos="1440"/>
          <w:tab w:val="left" w:pos="2160"/>
          <w:tab w:val="left" w:pos="2880"/>
          <w:tab w:val="left" w:pos="3600"/>
          <w:tab w:val="left" w:pos="4320"/>
          <w:tab w:val="left" w:pos="5040"/>
        </w:tabs>
        <w:jc w:val="center"/>
      </w:pPr>
      <w:r w:rsidRPr="00F1086D">
        <w:rPr>
          <w:noProof/>
        </w:rPr>
        <w:drawing>
          <wp:inline distT="0" distB="0" distL="0" distR="0">
            <wp:extent cx="5352415" cy="1896110"/>
            <wp:effectExtent l="0" t="0" r="63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2415" cy="1896110"/>
                    </a:xfrm>
                    <a:prstGeom prst="rect">
                      <a:avLst/>
                    </a:prstGeom>
                    <a:noFill/>
                    <a:ln>
                      <a:noFill/>
                    </a:ln>
                  </pic:spPr>
                </pic:pic>
              </a:graphicData>
            </a:graphic>
          </wp:inline>
        </w:drawing>
      </w:r>
    </w:p>
    <w:p w:rsidR="003101AF" w:rsidRPr="00A64FD5" w:rsidRDefault="00A64FD5" w:rsidP="00A64FD5">
      <w:pPr>
        <w:pStyle w:val="Caption"/>
        <w:jc w:val="center"/>
        <w:rPr>
          <w:color w:val="000000" w:themeColor="text1"/>
        </w:rPr>
      </w:pPr>
      <w:r w:rsidRPr="00A64FD5">
        <w:rPr>
          <w:color w:val="000000" w:themeColor="text1"/>
        </w:rPr>
        <w:t xml:space="preserve">Figure </w:t>
      </w:r>
      <w:r w:rsidRPr="00A64FD5">
        <w:rPr>
          <w:color w:val="000000" w:themeColor="text1"/>
        </w:rPr>
        <w:fldChar w:fldCharType="begin"/>
      </w:r>
      <w:r w:rsidRPr="00A64FD5">
        <w:rPr>
          <w:color w:val="000000" w:themeColor="text1"/>
        </w:rPr>
        <w:instrText xml:space="preserve"> SEQ Figure \* ARABIC </w:instrText>
      </w:r>
      <w:r w:rsidRPr="00A64FD5">
        <w:rPr>
          <w:color w:val="000000" w:themeColor="text1"/>
        </w:rPr>
        <w:fldChar w:fldCharType="separate"/>
      </w:r>
      <w:r w:rsidR="00E42653">
        <w:rPr>
          <w:noProof/>
          <w:color w:val="000000" w:themeColor="text1"/>
        </w:rPr>
        <w:t>1</w:t>
      </w:r>
      <w:r w:rsidRPr="00A64FD5">
        <w:rPr>
          <w:color w:val="000000" w:themeColor="text1"/>
        </w:rPr>
        <w:fldChar w:fldCharType="end"/>
      </w:r>
    </w:p>
    <w:p w:rsidR="00E76FCC" w:rsidRDefault="00E76FCC" w:rsidP="00E76FCC">
      <w:pPr>
        <w:tabs>
          <w:tab w:val="left" w:pos="360"/>
          <w:tab w:val="left" w:pos="720"/>
          <w:tab w:val="left" w:pos="1440"/>
          <w:tab w:val="left" w:pos="2160"/>
          <w:tab w:val="left" w:pos="2880"/>
          <w:tab w:val="left" w:pos="3600"/>
          <w:tab w:val="left" w:pos="4320"/>
          <w:tab w:val="left" w:pos="5040"/>
        </w:tabs>
      </w:pPr>
      <w:r>
        <w:tab/>
      </w:r>
      <w:r w:rsidR="002D5AF4">
        <w:t>T</w:t>
      </w:r>
      <w:r>
        <w:t xml:space="preserve">he bill may restrict future Legislatures from enacting an increase in the gross income tax rate or modifying the gross income tax in a </w:t>
      </w:r>
      <w:r w:rsidR="003101AF">
        <w:t>manner that</w:t>
      </w:r>
      <w:r>
        <w:t xml:space="preserve"> would generate more gross income tax revenue.  The restriction applies</w:t>
      </w:r>
      <w:r w:rsidRPr="002A13BD">
        <w:t xml:space="preserve"> </w:t>
      </w:r>
      <w:r>
        <w:t>only in a fiscal year during which an appropriation is made from the account.  However, if gross income tax revenue decline</w:t>
      </w:r>
      <w:r w:rsidR="00B64C1D">
        <w:t>s</w:t>
      </w:r>
      <w:r>
        <w:t xml:space="preserve"> by at least two percent of total available gross income tax revenue as certified by the Governor, the Legislature may increase gross income tax rates or modify the gross income tax</w:t>
      </w:r>
      <w:r w:rsidR="00B64C1D">
        <w:t>.</w:t>
      </w:r>
      <w:r>
        <w:t xml:space="preserve"> </w:t>
      </w:r>
      <w:r w:rsidR="00B64C1D">
        <w:t xml:space="preserve"> T</w:t>
      </w:r>
      <w:r>
        <w:t xml:space="preserve">he balances in the account may </w:t>
      </w:r>
      <w:r w:rsidR="00B64C1D">
        <w:t xml:space="preserve">then </w:t>
      </w:r>
      <w:r>
        <w:t>be appropriated in any other manner as found to be in the best interests of the fiscal condition of the Property Tax Relief Fund.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76FCC"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76FCC" w:rsidP="00EF17BC">
            <w:pPr>
              <w:pStyle w:val="10pointItalics"/>
            </w:pPr>
            <w:bookmarkStart w:id="2" w:name="UserFullName"/>
            <w:bookmarkEnd w:id="2"/>
            <w:r>
              <w:t xml:space="preserve">Jordan M. </w:t>
            </w:r>
            <w:proofErr w:type="spellStart"/>
            <w:r>
              <w:t>DiGiovanni</w:t>
            </w:r>
            <w:proofErr w:type="spellEnd"/>
          </w:p>
          <w:p w:rsidR="00EF17BC" w:rsidRDefault="00E76FCC"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037F9" w:rsidRDefault="002037F9" w:rsidP="00EF17BC">
      <w:pPr>
        <w:spacing w:line="287" w:lineRule="atLeast"/>
      </w:pPr>
    </w:p>
    <w:p w:rsidR="00EF17BC" w:rsidRDefault="00DF4E6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F4E6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2C9" w:rsidRDefault="006742C9">
      <w:r>
        <w:separator/>
      </w:r>
    </w:p>
  </w:endnote>
  <w:endnote w:type="continuationSeparator" w:id="0">
    <w:p w:rsidR="006742C9" w:rsidRDefault="00674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483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171557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2C9" w:rsidRDefault="006742C9">
      <w:r>
        <w:separator/>
      </w:r>
    </w:p>
  </w:footnote>
  <w:footnote w:type="continuationSeparator" w:id="0">
    <w:p w:rsidR="006742C9" w:rsidRDefault="00674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E66" w:rsidRDefault="00DF4E66" w:rsidP="00DF4E66">
    <w:pPr>
      <w:pStyle w:val="Header"/>
      <w:jc w:val="center"/>
    </w:pPr>
    <w:r>
      <w:t xml:space="preserve">FE to S986 </w:t>
    </w:r>
  </w:p>
  <w:p w:rsidR="00DF4E66" w:rsidRDefault="00DF4E66" w:rsidP="00DF4E66">
    <w:pPr>
      <w:pStyle w:val="Header"/>
      <w:jc w:val="center"/>
    </w:pPr>
    <w:r>
      <w:fldChar w:fldCharType="begin"/>
    </w:r>
    <w:r>
      <w:instrText xml:space="preserve"> PAGE  \* MERGEFORMAT </w:instrText>
    </w:r>
    <w:r>
      <w:fldChar w:fldCharType="separate"/>
    </w:r>
    <w:r w:rsidR="008A4830">
      <w:rPr>
        <w:noProof/>
      </w:rPr>
      <w:t>3</w:t>
    </w:r>
    <w:r>
      <w:fldChar w:fldCharType="end"/>
    </w:r>
  </w:p>
  <w:p w:rsidR="00DF4E66" w:rsidRDefault="00DF4E66" w:rsidP="00DF4E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E6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7160"/>
    <w:rsid w:val="00172CF5"/>
    <w:rsid w:val="00182B95"/>
    <w:rsid w:val="001907A1"/>
    <w:rsid w:val="00193C26"/>
    <w:rsid w:val="00194789"/>
    <w:rsid w:val="00197240"/>
    <w:rsid w:val="001A32D7"/>
    <w:rsid w:val="001B1D4B"/>
    <w:rsid w:val="001B2BA9"/>
    <w:rsid w:val="001D0C90"/>
    <w:rsid w:val="001D3FD4"/>
    <w:rsid w:val="001F4F8B"/>
    <w:rsid w:val="00201322"/>
    <w:rsid w:val="002037F9"/>
    <w:rsid w:val="00203C53"/>
    <w:rsid w:val="00210E60"/>
    <w:rsid w:val="002116FF"/>
    <w:rsid w:val="00212908"/>
    <w:rsid w:val="00213CFF"/>
    <w:rsid w:val="00220166"/>
    <w:rsid w:val="00231207"/>
    <w:rsid w:val="00234802"/>
    <w:rsid w:val="00241AAD"/>
    <w:rsid w:val="002427E6"/>
    <w:rsid w:val="002451F9"/>
    <w:rsid w:val="002518C8"/>
    <w:rsid w:val="0025403C"/>
    <w:rsid w:val="00255944"/>
    <w:rsid w:val="00261FC7"/>
    <w:rsid w:val="00275600"/>
    <w:rsid w:val="00290E57"/>
    <w:rsid w:val="0029229D"/>
    <w:rsid w:val="002977FC"/>
    <w:rsid w:val="002A15C4"/>
    <w:rsid w:val="002A2F18"/>
    <w:rsid w:val="002A5C0C"/>
    <w:rsid w:val="002D4307"/>
    <w:rsid w:val="002D5AF4"/>
    <w:rsid w:val="002D7381"/>
    <w:rsid w:val="002D7863"/>
    <w:rsid w:val="002E3A30"/>
    <w:rsid w:val="002F5E01"/>
    <w:rsid w:val="003101AF"/>
    <w:rsid w:val="00315F39"/>
    <w:rsid w:val="00326E3B"/>
    <w:rsid w:val="003321A7"/>
    <w:rsid w:val="00335BC0"/>
    <w:rsid w:val="003376CB"/>
    <w:rsid w:val="00353325"/>
    <w:rsid w:val="0035698A"/>
    <w:rsid w:val="0036218F"/>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3B7C"/>
    <w:rsid w:val="0045217A"/>
    <w:rsid w:val="00463F16"/>
    <w:rsid w:val="00485323"/>
    <w:rsid w:val="00487ED8"/>
    <w:rsid w:val="004911CB"/>
    <w:rsid w:val="00491918"/>
    <w:rsid w:val="0049444E"/>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77AE"/>
    <w:rsid w:val="00570997"/>
    <w:rsid w:val="00577AA8"/>
    <w:rsid w:val="005850CE"/>
    <w:rsid w:val="005A6D23"/>
    <w:rsid w:val="005C1947"/>
    <w:rsid w:val="005C1E9D"/>
    <w:rsid w:val="005E03E7"/>
    <w:rsid w:val="005E75AB"/>
    <w:rsid w:val="00601F73"/>
    <w:rsid w:val="006156E1"/>
    <w:rsid w:val="00625D15"/>
    <w:rsid w:val="00651611"/>
    <w:rsid w:val="00653AE2"/>
    <w:rsid w:val="006671C7"/>
    <w:rsid w:val="006742C9"/>
    <w:rsid w:val="006917CF"/>
    <w:rsid w:val="00692BD4"/>
    <w:rsid w:val="006B22F3"/>
    <w:rsid w:val="006B2FD5"/>
    <w:rsid w:val="006B55A3"/>
    <w:rsid w:val="006B5C2D"/>
    <w:rsid w:val="006B6C16"/>
    <w:rsid w:val="006D6F6C"/>
    <w:rsid w:val="006F239A"/>
    <w:rsid w:val="006F505D"/>
    <w:rsid w:val="006F7203"/>
    <w:rsid w:val="00722AEF"/>
    <w:rsid w:val="00737A6C"/>
    <w:rsid w:val="00743F01"/>
    <w:rsid w:val="00744AE4"/>
    <w:rsid w:val="00753EE9"/>
    <w:rsid w:val="00763D60"/>
    <w:rsid w:val="007833B1"/>
    <w:rsid w:val="007920AC"/>
    <w:rsid w:val="007A0F7E"/>
    <w:rsid w:val="007A42C5"/>
    <w:rsid w:val="007A65A1"/>
    <w:rsid w:val="007B1FCF"/>
    <w:rsid w:val="007C4620"/>
    <w:rsid w:val="007C6C1A"/>
    <w:rsid w:val="007D732F"/>
    <w:rsid w:val="007E337B"/>
    <w:rsid w:val="007E5EB3"/>
    <w:rsid w:val="00804E41"/>
    <w:rsid w:val="00811BC0"/>
    <w:rsid w:val="008231E8"/>
    <w:rsid w:val="008266B7"/>
    <w:rsid w:val="00854B89"/>
    <w:rsid w:val="00855555"/>
    <w:rsid w:val="00881BED"/>
    <w:rsid w:val="00881EF3"/>
    <w:rsid w:val="00883E7C"/>
    <w:rsid w:val="00886261"/>
    <w:rsid w:val="00894971"/>
    <w:rsid w:val="008A4830"/>
    <w:rsid w:val="008C0341"/>
    <w:rsid w:val="008D5731"/>
    <w:rsid w:val="008E1349"/>
    <w:rsid w:val="00903D2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4FD5"/>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4C1D"/>
    <w:rsid w:val="00B703BD"/>
    <w:rsid w:val="00B84AC8"/>
    <w:rsid w:val="00B90F8C"/>
    <w:rsid w:val="00B91C0B"/>
    <w:rsid w:val="00B97E24"/>
    <w:rsid w:val="00BA0BE6"/>
    <w:rsid w:val="00BA2122"/>
    <w:rsid w:val="00BA2F3A"/>
    <w:rsid w:val="00BA7A09"/>
    <w:rsid w:val="00BF47F9"/>
    <w:rsid w:val="00C04643"/>
    <w:rsid w:val="00C07688"/>
    <w:rsid w:val="00C260AB"/>
    <w:rsid w:val="00C32933"/>
    <w:rsid w:val="00C3314D"/>
    <w:rsid w:val="00C66943"/>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4E66"/>
    <w:rsid w:val="00DF65C1"/>
    <w:rsid w:val="00E008A4"/>
    <w:rsid w:val="00E042C5"/>
    <w:rsid w:val="00E06D7C"/>
    <w:rsid w:val="00E21963"/>
    <w:rsid w:val="00E22D9A"/>
    <w:rsid w:val="00E262A3"/>
    <w:rsid w:val="00E32D2F"/>
    <w:rsid w:val="00E42653"/>
    <w:rsid w:val="00E51E95"/>
    <w:rsid w:val="00E5461B"/>
    <w:rsid w:val="00E708C9"/>
    <w:rsid w:val="00E74E35"/>
    <w:rsid w:val="00E75B93"/>
    <w:rsid w:val="00E76FCC"/>
    <w:rsid w:val="00E86D2A"/>
    <w:rsid w:val="00E9123C"/>
    <w:rsid w:val="00E95800"/>
    <w:rsid w:val="00EB1C90"/>
    <w:rsid w:val="00EC1EF8"/>
    <w:rsid w:val="00EC2547"/>
    <w:rsid w:val="00EC4079"/>
    <w:rsid w:val="00EE7D05"/>
    <w:rsid w:val="00EF17BC"/>
    <w:rsid w:val="00EF3B9C"/>
    <w:rsid w:val="00F04CAD"/>
    <w:rsid w:val="00F1086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20078CA-CFB7-4EA2-AE79-FE692F60E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Caption">
    <w:name w:val="caption"/>
    <w:basedOn w:val="Normal"/>
    <w:next w:val="Normal"/>
    <w:unhideWhenUsed/>
    <w:qFormat/>
    <w:rsid w:val="00A64FD5"/>
    <w:pPr>
      <w:spacing w:after="200" w:line="240" w:lineRule="auto"/>
    </w:pPr>
    <w:rPr>
      <w:i/>
      <w:iCs/>
      <w:color w:val="1F497D" w:themeColor="text2"/>
      <w:sz w:val="18"/>
      <w:szCs w:val="18"/>
    </w:rPr>
  </w:style>
  <w:style w:type="paragraph" w:styleId="ListParagraph">
    <w:name w:val="List Paragraph"/>
    <w:basedOn w:val="Normal"/>
    <w:uiPriority w:val="34"/>
    <w:qFormat/>
    <w:rsid w:val="002037F9"/>
    <w:pPr>
      <w:ind w:left="720"/>
      <w:contextualSpacing/>
    </w:pPr>
  </w:style>
  <w:style w:type="paragraph" w:styleId="BalloonText">
    <w:name w:val="Balloon Text"/>
    <w:basedOn w:val="Normal"/>
    <w:link w:val="BalloonTextChar"/>
    <w:semiHidden/>
    <w:unhideWhenUsed/>
    <w:rsid w:val="00E42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26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42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886</Words>
  <Characters>4533</Characters>
  <Application>Microsoft Office Word</Application>
  <DocSecurity>0</DocSecurity>
  <Lines>114</Lines>
  <Paragraphs>41</Paragraphs>
  <ScaleCrop>false</ScaleCrop>
  <HeadingPairs>
    <vt:vector size="2" baseType="variant">
      <vt:variant>
        <vt:lpstr>Title</vt:lpstr>
      </vt:variant>
      <vt:variant>
        <vt:i4>1</vt:i4>
      </vt:variant>
    </vt:vector>
  </HeadingPairs>
  <TitlesOfParts>
    <vt:vector size="1" baseType="lpstr">
      <vt:lpstr>S986   FISCAL ESTIMATE</vt:lpstr>
    </vt:vector>
  </TitlesOfParts>
  <Manager>Jordan M. DiGiovanni; R56</Manager>
  <Company>Office of Legislative Services</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S986 FISCAL ESTIMATE</dc:title>
  <dc:creator>Assemblyman SINGLETON</dc:creator>
  <cp:keywords>S986|3|RF |282|265|265|!||</cp:keywords>
  <dc:description>Sponsor 4/30 BPU 5/5</dc:description>
  <cp:lastModifiedBy>Todaro, Vivian</cp:lastModifiedBy>
  <cp:revision>2</cp:revision>
  <cp:lastPrinted>2021-05-05T14:13:00Z</cp:lastPrinted>
  <dcterms:created xsi:type="dcterms:W3CDTF">2021-05-05T14:26:00Z</dcterms:created>
  <dcterms:modified xsi:type="dcterms:W3CDTF">2021-05-05T14:26:00Z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