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F1A4B" w:rsidP="00407C9E">
      <w:pPr>
        <w:pStyle w:val="NoteOrEstimate"/>
      </w:pPr>
      <w:r>
        <w:t>LEGISLATIVE FISCAL ESTIMATE</w:t>
      </w:r>
    </w:p>
    <w:p w:rsidR="003C5892" w:rsidRDefault="001F1A4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55BB1" w:rsidP="00155BB1">
      <w:pPr>
        <w:pStyle w:val="BillNo"/>
      </w:pPr>
      <w:r>
        <w:t>219th LEGISLATURE</w:t>
      </w:r>
    </w:p>
    <w:p w:rsidR="00353325" w:rsidRDefault="00353325" w:rsidP="00353325"/>
    <w:p w:rsidR="00155BB1" w:rsidRDefault="00155BB1" w:rsidP="00155BB1">
      <w:pPr>
        <w:jc w:val="center"/>
      </w:pPr>
      <w:r>
        <w:t>DATED: NOVEMBER 8, 2021</w:t>
      </w:r>
    </w:p>
    <w:p w:rsidR="00155BB1" w:rsidRDefault="00155BB1" w:rsidP="00353325"/>
    <w:p w:rsidR="00155BB1" w:rsidRDefault="00155BB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8A15E8" w:rsidRDefault="008A15E8" w:rsidP="008A15E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A15E8" w:rsidTr="00C04C3F">
        <w:trPr>
          <w:trHeight w:val="576"/>
        </w:trPr>
        <w:tc>
          <w:tcPr>
            <w:tcW w:w="2333" w:type="dxa"/>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8A15E8" w:rsidRDefault="008A15E8" w:rsidP="00C04C3F">
            <w:r>
              <w:t>Requires owner or operator of certain trains to have discharge response, cleanup, and contingency plans to transport certain hazardous materials by rail; requires NJ DOT to request bridge inspection reports from US DOT.</w:t>
            </w:r>
          </w:p>
        </w:tc>
      </w:tr>
      <w:tr w:rsidR="008A15E8" w:rsidTr="00C04C3F">
        <w:trPr>
          <w:trHeight w:val="576"/>
        </w:trPr>
        <w:tc>
          <w:tcPr>
            <w:tcW w:w="2333" w:type="dxa"/>
          </w:tcPr>
          <w:p w:rsidR="008A15E8" w:rsidRDefault="008A15E8" w:rsidP="00C04C3F">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8A15E8" w:rsidRDefault="008A15E8" w:rsidP="00C04C3F">
            <w:r>
              <w:t>Increased State revenue and expenditures, decreased local expenditures.</w:t>
            </w:r>
          </w:p>
        </w:tc>
      </w:tr>
      <w:tr w:rsidR="008A15E8" w:rsidTr="00C04C3F">
        <w:trPr>
          <w:trHeight w:val="576"/>
        </w:trPr>
        <w:tc>
          <w:tcPr>
            <w:tcW w:w="2333" w:type="dxa"/>
          </w:tcPr>
          <w:p w:rsidR="008A15E8" w:rsidRDefault="008A15E8" w:rsidP="00C04C3F">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8A15E8" w:rsidRDefault="008A15E8" w:rsidP="005936DD">
            <w:r>
              <w:t>Department of Environmental Protection, New Jersey Office of Emergency Management, Department of Transportation, local emergency planning committees.</w:t>
            </w:r>
          </w:p>
        </w:tc>
      </w:tr>
    </w:tbl>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8A15E8" w:rsidTr="008F67AF">
        <w:trPr>
          <w:trHeight w:val="410"/>
        </w:trPr>
        <w:tc>
          <w:tcPr>
            <w:tcW w:w="9375" w:type="dxa"/>
            <w:gridSpan w:val="5"/>
            <w:tcBorders>
              <w:top w:val="nil"/>
              <w:left w:val="nil"/>
              <w:bottom w:val="nil"/>
              <w:right w:val="nil"/>
            </w:tcBorders>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8A15E8" w:rsidTr="008F67AF">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8A15E8" w:rsidTr="008F67A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A15E8" w:rsidRDefault="008F67AF" w:rsidP="00C04C3F">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8A15E8">
              <w:rPr>
                <w:b/>
              </w:rPr>
              <w:t>State Cost</w:t>
            </w:r>
            <w:r>
              <w:rPr>
                <w:b/>
              </w:rPr>
              <w:t xml:space="preserve"> Increase </w:t>
            </w:r>
          </w:p>
        </w:tc>
        <w:tc>
          <w:tcPr>
            <w:tcW w:w="6220" w:type="dxa"/>
            <w:gridSpan w:val="3"/>
            <w:tcBorders>
              <w:top w:val="nil"/>
              <w:left w:val="nil"/>
              <w:bottom w:val="nil"/>
              <w:right w:val="single" w:sz="6" w:space="0" w:color="auto"/>
            </w:tcBorders>
            <w:tcMar>
              <w:bottom w:w="29" w:type="dxa"/>
            </w:tcMar>
            <w:vAlign w:val="bottom"/>
          </w:tcPr>
          <w:p w:rsidR="008A15E8" w:rsidRDefault="00AC2CAC" w:rsidP="00AC2CAC">
            <w:pPr>
              <w:tabs>
                <w:tab w:val="left" w:pos="360"/>
                <w:tab w:val="left" w:pos="720"/>
                <w:tab w:val="left" w:pos="1440"/>
                <w:tab w:val="left" w:pos="2160"/>
                <w:tab w:val="left" w:pos="2880"/>
                <w:tab w:val="left" w:pos="3600"/>
                <w:tab w:val="left" w:pos="4320"/>
                <w:tab w:val="left" w:pos="5040"/>
              </w:tabs>
            </w:pPr>
            <w:r>
              <w:t xml:space="preserve">                             </w:t>
            </w:r>
            <w:r w:rsidR="008A15E8">
              <w:t xml:space="preserve">Indeterminate </w:t>
            </w:r>
          </w:p>
        </w:tc>
      </w:tr>
      <w:tr w:rsidR="008A15E8" w:rsidTr="008F67A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State Revenue</w:t>
            </w:r>
            <w:r w:rsidR="008F67AF">
              <w:rPr>
                <w:b/>
              </w:rPr>
              <w:t xml:space="preserve"> Increase</w:t>
            </w:r>
          </w:p>
        </w:tc>
        <w:tc>
          <w:tcPr>
            <w:tcW w:w="6220" w:type="dxa"/>
            <w:gridSpan w:val="3"/>
            <w:tcBorders>
              <w:top w:val="nil"/>
              <w:left w:val="nil"/>
              <w:bottom w:val="nil"/>
              <w:right w:val="single" w:sz="6" w:space="0" w:color="auto"/>
            </w:tcBorders>
            <w:tcMar>
              <w:bottom w:w="29" w:type="dxa"/>
            </w:tcMar>
            <w:vAlign w:val="bottom"/>
          </w:tcPr>
          <w:p w:rsidR="008A15E8" w:rsidRDefault="00AC2CAC" w:rsidP="00AC2CAC">
            <w:pPr>
              <w:tabs>
                <w:tab w:val="left" w:pos="360"/>
                <w:tab w:val="left" w:pos="720"/>
                <w:tab w:val="left" w:pos="1440"/>
                <w:tab w:val="left" w:pos="2160"/>
                <w:tab w:val="left" w:pos="2880"/>
                <w:tab w:val="left" w:pos="3600"/>
                <w:tab w:val="left" w:pos="4320"/>
                <w:tab w:val="left" w:pos="5040"/>
              </w:tabs>
            </w:pPr>
            <w:r>
              <w:t xml:space="preserve">                             </w:t>
            </w:r>
            <w:r w:rsidR="008A15E8">
              <w:t xml:space="preserve">Indeterminate </w:t>
            </w:r>
          </w:p>
        </w:tc>
      </w:tr>
      <w:tr w:rsidR="008A15E8" w:rsidTr="008F67A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Local Cost</w:t>
            </w:r>
            <w:r w:rsidR="008F67AF">
              <w:rPr>
                <w:b/>
              </w:rPr>
              <w:t xml:space="preserve"> Decrease</w:t>
            </w:r>
          </w:p>
        </w:tc>
        <w:tc>
          <w:tcPr>
            <w:tcW w:w="6220" w:type="dxa"/>
            <w:gridSpan w:val="3"/>
            <w:tcBorders>
              <w:top w:val="nil"/>
              <w:left w:val="nil"/>
              <w:bottom w:val="nil"/>
              <w:right w:val="single" w:sz="6" w:space="0" w:color="auto"/>
            </w:tcBorders>
            <w:tcMar>
              <w:bottom w:w="29" w:type="dxa"/>
            </w:tcMar>
            <w:vAlign w:val="bottom"/>
          </w:tcPr>
          <w:p w:rsidR="008A15E8" w:rsidRDefault="00AC2CAC" w:rsidP="00AC2CAC">
            <w:pPr>
              <w:tabs>
                <w:tab w:val="left" w:pos="360"/>
                <w:tab w:val="left" w:pos="720"/>
                <w:tab w:val="left" w:pos="1440"/>
                <w:tab w:val="left" w:pos="2160"/>
                <w:tab w:val="left" w:pos="2880"/>
                <w:tab w:val="left" w:pos="3600"/>
                <w:tab w:val="left" w:pos="4320"/>
                <w:tab w:val="left" w:pos="5040"/>
              </w:tabs>
            </w:pPr>
            <w:r>
              <w:t xml:space="preserve">                             </w:t>
            </w:r>
            <w:r w:rsidR="008A15E8">
              <w:t xml:space="preserve">Indeterminate </w:t>
            </w:r>
          </w:p>
        </w:tc>
      </w:tr>
      <w:tr w:rsidR="008A15E8" w:rsidTr="008F67A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A15E8" w:rsidRDefault="008A15E8" w:rsidP="00C04C3F">
            <w:pPr>
              <w:tabs>
                <w:tab w:val="left" w:pos="360"/>
                <w:tab w:val="left" w:pos="720"/>
                <w:tab w:val="left" w:pos="1440"/>
                <w:tab w:val="left" w:pos="2160"/>
                <w:tab w:val="left" w:pos="2880"/>
                <w:tab w:val="left" w:pos="3600"/>
                <w:tab w:val="left" w:pos="4320"/>
                <w:tab w:val="left" w:pos="5040"/>
              </w:tabs>
            </w:pPr>
          </w:p>
        </w:tc>
      </w:tr>
    </w:tbl>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155BB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8F67AF">
        <w:t>Office of Legislative Services (OLS) notes the D</w:t>
      </w:r>
      <w:r>
        <w:t xml:space="preserve">epartment </w:t>
      </w:r>
      <w:r w:rsidR="008F67AF">
        <w:t xml:space="preserve">of Environmental Protection (DEP) </w:t>
      </w:r>
      <w:r>
        <w:t>will be required to evaluate, approve, and retain high hazard train discharge response, cleanup, and contingency plans.  At a minimum, a new full time staff member may be required to perform these functions at a total compensation level of $80,0</w:t>
      </w:r>
      <w:r w:rsidR="00401DDF">
        <w:t xml:space="preserve">00 to </w:t>
      </w:r>
      <w:r>
        <w:t>$120,000</w:t>
      </w:r>
      <w:r w:rsidR="00F47BC3">
        <w:t xml:space="preserve"> per year</w:t>
      </w:r>
      <w:r>
        <w:t>, with approximately $10,000</w:t>
      </w:r>
      <w:r w:rsidR="00F47BC3">
        <w:t xml:space="preserve"> annually</w:t>
      </w:r>
      <w:r>
        <w:t xml:space="preserve"> in equipment and materials to support these activities. The bill requires Department of Transportation (NJ DOT) to request bridge inspection reports from the U.S. Department of Transportation</w:t>
      </w:r>
      <w:r w:rsidR="00471786">
        <w:t>,</w:t>
      </w:r>
      <w:r>
        <w:t xml:space="preserve"> but the request may be completed by existing staff and not require additional new hires.</w:t>
      </w:r>
    </w:p>
    <w:p w:rsidR="00155BB1" w:rsidRDefault="00155BB1" w:rsidP="00155BB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A15E8" w:rsidRDefault="008A15E8" w:rsidP="00155BB1">
      <w:pPr>
        <w:pStyle w:val="StyleBulletedSymbolsymbol"/>
        <w:spacing w:after="0"/>
      </w:pPr>
      <w:r>
        <w:t>The bill requires the owner or operators of high hazard trains to offer specialized training for local government emergency services personnel along the travel routes of the high hazard trains.  The value of this training represents a reduction in costs for local governments that may have otherwise provided this training on their own.</w:t>
      </w:r>
    </w:p>
    <w:p w:rsidR="00666DC3" w:rsidRDefault="00666DC3">
      <w:pPr>
        <w:spacing w:line="240" w:lineRule="auto"/>
        <w:jc w:val="left"/>
      </w:pPr>
      <w:r>
        <w:br w:type="page"/>
      </w:r>
    </w:p>
    <w:p w:rsidR="008A15E8" w:rsidRDefault="008A15E8" w:rsidP="00155BB1">
      <w:pPr>
        <w:pStyle w:val="StyleBulletedSymbolsymbol"/>
        <w:tabs>
          <w:tab w:val="num" w:pos="360"/>
        </w:tabs>
        <w:spacing w:after="0"/>
      </w:pPr>
      <w:r>
        <w:lastRenderedPageBreak/>
        <w:t xml:space="preserve">The bill permits the </w:t>
      </w:r>
      <w:r w:rsidR="00471786">
        <w:t>DEP</w:t>
      </w:r>
      <w:r>
        <w:t xml:space="preserve"> to assess civil administrative fines of up to $25,000 per violation of the bill’s requirements.  It is unknown how many violations will occur, but after subtracting for administrative and legal costs in assessing the fines, the value of those fines will represent positive State revenue.</w:t>
      </w:r>
    </w:p>
    <w:p w:rsidR="008A15E8" w:rsidRDefault="008A15E8" w:rsidP="00155BB1"/>
    <w:p w:rsidR="00155BB1" w:rsidRDefault="00155BB1" w:rsidP="00155BB1"/>
    <w:p w:rsidR="008A15E8" w:rsidRDefault="008A15E8" w:rsidP="008A15E8">
      <w:pPr>
        <w:pStyle w:val="SectionHeading"/>
        <w:tabs>
          <w:tab w:val="left" w:pos="360"/>
          <w:tab w:val="left" w:pos="720"/>
          <w:tab w:val="left" w:pos="1440"/>
          <w:tab w:val="left" w:pos="2160"/>
          <w:tab w:val="left" w:pos="2880"/>
          <w:tab w:val="left" w:pos="3600"/>
          <w:tab w:val="left" w:pos="4320"/>
          <w:tab w:val="left" w:pos="5040"/>
        </w:tabs>
      </w:pPr>
      <w:r>
        <w:t>BILL DESCRIPTION</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r>
        <w:tab/>
        <w:t>This bill requires the owner or operator of a high hazard train traveling on any railroad track within this State to submit to the department within six months of the effective date of the bill a discharge response, cleanup, and contingency plan (plan).</w:t>
      </w:r>
    </w:p>
    <w:p w:rsidR="008A15E8" w:rsidRDefault="008A15E8" w:rsidP="008A15E8">
      <w:pPr>
        <w:tabs>
          <w:tab w:val="left" w:pos="360"/>
          <w:tab w:val="left" w:pos="720"/>
          <w:tab w:val="left" w:pos="1440"/>
          <w:tab w:val="left" w:pos="2160"/>
          <w:tab w:val="left" w:pos="2880"/>
          <w:tab w:val="left" w:pos="3600"/>
          <w:tab w:val="left" w:pos="4320"/>
          <w:tab w:val="left" w:pos="5040"/>
        </w:tabs>
      </w:pPr>
      <w:r>
        <w:tab/>
        <w:t xml:space="preserve">The bill requires the plan to be renewed every five years with the department unless the department requires a more frequent submission and any amendments to the plan are to be filed with the </w:t>
      </w:r>
      <w:r w:rsidR="00471786">
        <w:t>DEP</w:t>
      </w:r>
      <w:r>
        <w:t xml:space="preserve">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(NJOEM).  </w:t>
      </w:r>
    </w:p>
    <w:p w:rsidR="008A15E8" w:rsidRDefault="008A15E8" w:rsidP="008A15E8">
      <w:pPr>
        <w:tabs>
          <w:tab w:val="left" w:pos="360"/>
          <w:tab w:val="left" w:pos="720"/>
          <w:tab w:val="left" w:pos="1440"/>
          <w:tab w:val="left" w:pos="2160"/>
          <w:tab w:val="left" w:pos="2880"/>
          <w:tab w:val="left" w:pos="3600"/>
          <w:tab w:val="left" w:pos="4320"/>
          <w:tab w:val="left" w:pos="5040"/>
        </w:tabs>
      </w:pPr>
      <w:r>
        <w:tab/>
        <w:t>Under the bill, the owner or operator of a high hazard train is required to make available to the public on its website, to the extent the release of information does not conflict with federal law, information concerning: the routes and volumes of cargoes updated on a monthly basis; an analysis of the consequences of maximum discharges from the high hazard trains owned or operated in the State; a copy of the most current plan; and a railroad routing analysis and any accompanying documentation that impacted the owner or operator’s decision in routing the high hazard train through the State.</w:t>
      </w:r>
    </w:p>
    <w:p w:rsidR="008A15E8" w:rsidRDefault="008A15E8" w:rsidP="008A15E8">
      <w:pPr>
        <w:tabs>
          <w:tab w:val="left" w:pos="360"/>
          <w:tab w:val="left" w:pos="720"/>
          <w:tab w:val="left" w:pos="1440"/>
          <w:tab w:val="left" w:pos="2160"/>
          <w:tab w:val="left" w:pos="2880"/>
          <w:tab w:val="left" w:pos="3600"/>
          <w:tab w:val="left" w:pos="4320"/>
          <w:tab w:val="left" w:pos="5040"/>
        </w:tabs>
      </w:pPr>
      <w: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8A15E8" w:rsidRDefault="008A15E8" w:rsidP="008A15E8">
      <w:pPr>
        <w:tabs>
          <w:tab w:val="left" w:pos="360"/>
          <w:tab w:val="left" w:pos="720"/>
          <w:tab w:val="left" w:pos="1440"/>
          <w:tab w:val="left" w:pos="2160"/>
          <w:tab w:val="left" w:pos="2880"/>
          <w:tab w:val="left" w:pos="3600"/>
          <w:tab w:val="left" w:pos="4320"/>
          <w:tab w:val="left" w:pos="5040"/>
        </w:tabs>
        <w:rPr>
          <w:lang w:val="en"/>
        </w:rPr>
      </w:pPr>
      <w:r>
        <w:tab/>
        <w:t xml:space="preserve">The bill requires that </w:t>
      </w:r>
      <w:r>
        <w:rPr>
          <w:lang w:val="en"/>
        </w:rPr>
        <w:t xml:space="preserve">the owner or operator of a high hazard train that has experienced a discharge that requires emergency response action to deliver and deploy sufficient </w:t>
      </w:r>
      <w:r>
        <w:t>emergency response, recovery, and containment equipment</w:t>
      </w:r>
      <w:r>
        <w:rPr>
          <w:lang w:val="en"/>
        </w:rPr>
        <w:t xml:space="preserve"> and trained personnel to contain and recover the discharged materials and protect the public within a certain timeframe. </w:t>
      </w:r>
    </w:p>
    <w:p w:rsidR="008A15E8" w:rsidRDefault="008A15E8" w:rsidP="008A15E8">
      <w:pPr>
        <w:tabs>
          <w:tab w:val="left" w:pos="360"/>
          <w:tab w:val="left" w:pos="720"/>
          <w:tab w:val="left" w:pos="1440"/>
          <w:tab w:val="left" w:pos="2160"/>
          <w:tab w:val="left" w:pos="2880"/>
          <w:tab w:val="left" w:pos="3600"/>
          <w:tab w:val="left" w:pos="4320"/>
          <w:tab w:val="left" w:pos="5040"/>
        </w:tabs>
        <w:rPr>
          <w:lang w:val="en"/>
        </w:rPr>
      </w:pPr>
      <w:r>
        <w:rPr>
          <w:lang w:val="en"/>
        </w:rPr>
        <w:tab/>
        <w:t xml:space="preserve">The provisions of the bill are not applicable to the owner or operator of a </w:t>
      </w:r>
      <w:r>
        <w:t>Class III carrier, as defined by the federal Surface Transportation Board, that operates within a single municipality on not more than 25 total track miles and is engaged in switching or terminal railroad services</w:t>
      </w:r>
      <w:r>
        <w:rPr>
          <w:lang w:val="en"/>
        </w:rPr>
        <w:t>.  The bill clarifies that it is not to be construed to exempt major facilities from the provisions of the “Spill Compensation and Control Act.”</w:t>
      </w:r>
    </w:p>
    <w:p w:rsidR="008A15E8" w:rsidRDefault="008A15E8" w:rsidP="008A15E8">
      <w:pPr>
        <w:tabs>
          <w:tab w:val="left" w:pos="360"/>
          <w:tab w:val="left" w:pos="720"/>
          <w:tab w:val="left" w:pos="1440"/>
          <w:tab w:val="left" w:pos="2160"/>
          <w:tab w:val="left" w:pos="2880"/>
          <w:tab w:val="left" w:pos="3600"/>
          <w:tab w:val="left" w:pos="4320"/>
          <w:tab w:val="left" w:pos="5040"/>
        </w:tabs>
      </w:pPr>
      <w:r>
        <w:rPr>
          <w:lang w:val="en"/>
        </w:rPr>
        <w:tab/>
        <w:t xml:space="preserve">The bill requires the </w:t>
      </w:r>
      <w:r w:rsidR="00471786">
        <w:rPr>
          <w:lang w:val="en"/>
        </w:rPr>
        <w:t>DEP</w:t>
      </w:r>
      <w:r>
        <w:rPr>
          <w:lang w:val="en"/>
        </w:rPr>
        <w:t xml:space="preserve"> to</w:t>
      </w:r>
      <w:r>
        <w:t xml:space="preserve"> review plans or plan renewals within six months of filing and plan amendments within 60 days of filing.  If a plan, plan renewal, or plan amendment is disapproved, the owner or operator of the high hazard train is required to submit a revised plan or plan amendment within 30 days from the receipt of written notice of the disapproval.  The bill permits the department to issue civil administrative penalties for violations under the bill and bring an action for civil penalties.  Under the bill, the owner of a high hazard train that experiences a discharge is subject to the penalty and injunctive relief provisions of the “Spill Compensation and Control Act.” </w:t>
      </w:r>
    </w:p>
    <w:p w:rsidR="008A15E8" w:rsidRDefault="008A15E8" w:rsidP="008A15E8">
      <w:pPr>
        <w:tabs>
          <w:tab w:val="left" w:pos="360"/>
          <w:tab w:val="left" w:pos="720"/>
          <w:tab w:val="left" w:pos="1440"/>
          <w:tab w:val="left" w:pos="2160"/>
          <w:tab w:val="left" w:pos="2880"/>
          <w:tab w:val="left" w:pos="3600"/>
          <w:tab w:val="left" w:pos="4320"/>
          <w:tab w:val="left" w:pos="5040"/>
        </w:tabs>
      </w:pPr>
      <w:r>
        <w:lastRenderedPageBreak/>
        <w:tab/>
        <w:t>The NJ OEM is to provide certain information to certain county offices of emergency management and emergency services.</w:t>
      </w:r>
    </w:p>
    <w:p w:rsidR="008A15E8" w:rsidRDefault="008A15E8" w:rsidP="008A15E8">
      <w:pPr>
        <w:tabs>
          <w:tab w:val="left" w:pos="360"/>
          <w:tab w:val="left" w:pos="720"/>
          <w:tab w:val="left" w:pos="1440"/>
          <w:tab w:val="left" w:pos="2160"/>
          <w:tab w:val="left" w:pos="2880"/>
          <w:tab w:val="left" w:pos="3600"/>
          <w:tab w:val="left" w:pos="4320"/>
          <w:tab w:val="left" w:pos="5040"/>
        </w:tabs>
      </w:pPr>
      <w:r>
        <w:tab/>
        <w:t xml:space="preserve">The bill requires the </w:t>
      </w:r>
      <w:r w:rsidR="00471786">
        <w:t>DEP</w:t>
      </w:r>
      <w:r>
        <w:t xml:space="preserve"> to, annually or whenever deemed necessary, request from the U.S. Department of Transportation a copy of the most recent bridge inspection report generated pursuant to the federal “Railroad Safety Improvement Act of 2008” for every bridge owned by a railroad or upon which railroad tracks are located.  The </w:t>
      </w:r>
      <w:r w:rsidR="00471786">
        <w:t>DEP</w:t>
      </w:r>
      <w:r>
        <w:t xml:space="preserve"> is to submit any bridge inspection report </w:t>
      </w:r>
      <w:r w:rsidR="00471786">
        <w:t>it acquires</w:t>
      </w:r>
      <w:r>
        <w:t xml:space="preserve"> to the Governor and the Legislature.</w:t>
      </w:r>
    </w:p>
    <w:p w:rsidR="00666DC3" w:rsidRDefault="00666DC3" w:rsidP="008A15E8">
      <w:pPr>
        <w:tabs>
          <w:tab w:val="left" w:pos="360"/>
          <w:tab w:val="left" w:pos="720"/>
          <w:tab w:val="left" w:pos="1440"/>
          <w:tab w:val="left" w:pos="2160"/>
          <w:tab w:val="left" w:pos="2880"/>
          <w:tab w:val="left" w:pos="3600"/>
          <w:tab w:val="left" w:pos="4320"/>
          <w:tab w:val="left" w:pos="5040"/>
        </w:tabs>
      </w:pPr>
    </w:p>
    <w:p w:rsidR="00666DC3" w:rsidRDefault="00666DC3"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pStyle w:val="SectionHeading"/>
        <w:tabs>
          <w:tab w:val="left" w:pos="360"/>
          <w:tab w:val="left" w:pos="720"/>
          <w:tab w:val="left" w:pos="1440"/>
          <w:tab w:val="left" w:pos="2160"/>
          <w:tab w:val="left" w:pos="2880"/>
          <w:tab w:val="left" w:pos="3600"/>
          <w:tab w:val="left" w:pos="4320"/>
          <w:tab w:val="left" w:pos="5040"/>
        </w:tabs>
      </w:pPr>
      <w:r>
        <w:t>FISCAL ANALYSIS</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pStyle w:val="InterSectionHeading"/>
        <w:tabs>
          <w:tab w:val="left" w:pos="720"/>
          <w:tab w:val="left" w:pos="1440"/>
          <w:tab w:val="left" w:pos="2160"/>
          <w:tab w:val="left" w:pos="2880"/>
          <w:tab w:val="left" w:pos="3600"/>
          <w:tab w:val="left" w:pos="4320"/>
          <w:tab w:val="left" w:pos="5040"/>
        </w:tabs>
      </w:pPr>
      <w:r>
        <w:t>EXECUTIVE BRANCH</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r>
        <w:tab/>
        <w:t>None received.</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E267CD" w:rsidRDefault="00E267CD"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pStyle w:val="InterSectionHeading"/>
        <w:tabs>
          <w:tab w:val="left" w:pos="720"/>
          <w:tab w:val="left" w:pos="1440"/>
          <w:tab w:val="left" w:pos="2160"/>
          <w:tab w:val="left" w:pos="2880"/>
          <w:tab w:val="left" w:pos="3600"/>
          <w:tab w:val="left" w:pos="4320"/>
          <w:tab w:val="left" w:pos="5040"/>
        </w:tabs>
      </w:pPr>
      <w:r>
        <w:t>OFFICE OF LEGISLATIVE SERVICES</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r>
        <w:tab/>
        <w:t xml:space="preserve">The </w:t>
      </w:r>
      <w:r w:rsidR="00471786">
        <w:t>OLS</w:t>
      </w:r>
      <w:r>
        <w:t xml:space="preserve"> concludes that the bill will likely result in an indeterminate increase in State expenditure and State revenue, and an indeterminate decrease in local expenditures.  </w:t>
      </w:r>
    </w:p>
    <w:p w:rsidR="008A15E8" w:rsidRDefault="008A15E8" w:rsidP="008A15E8">
      <w:pPr>
        <w:tabs>
          <w:tab w:val="left" w:pos="360"/>
          <w:tab w:val="left" w:pos="720"/>
          <w:tab w:val="left" w:pos="1440"/>
          <w:tab w:val="left" w:pos="2160"/>
          <w:tab w:val="left" w:pos="2880"/>
          <w:tab w:val="left" w:pos="3600"/>
          <w:tab w:val="left" w:pos="4320"/>
          <w:tab w:val="left" w:pos="5040"/>
        </w:tabs>
      </w:pPr>
      <w:r>
        <w:tab/>
        <w:t>The bill requires owners or operators of high hazard trains to file a discharge response, cleanup, and contingency plan with the department.  The department is required to receive the plans, review the plans within six months of filing, approve or disapprove the plans, and retain a record of the plans at the department.  Although some existing staff resources could be used, it is likely that a dedicated staff member with expertise in the transport of hazardous materials may be needed to develop standards concerning this new responsibility of the department.  The bill provides a general framework for items that are required to be included in the plan.  However, until standards are developed by the department, it is unclear how complex each plan will have to be or the amount of labor that will be required to review the plans.  Assuming a single professional staff member is capable of handling plan review, the pay grade of the employee would likely entail total compensation i</w:t>
      </w:r>
      <w:r w:rsidR="00F47BC3">
        <w:t xml:space="preserve">n the range of $80,000 to </w:t>
      </w:r>
      <w:r>
        <w:t>$120,000 per year with equipment and technology costs of approximately $10,000 per year.  Additional staff members may be required if the complexity of the plans is too great for a single staff member to handle the workload.</w:t>
      </w:r>
    </w:p>
    <w:p w:rsidR="008A15E8" w:rsidRDefault="008A15E8" w:rsidP="008A15E8">
      <w:pPr>
        <w:tabs>
          <w:tab w:val="left" w:pos="360"/>
          <w:tab w:val="left" w:pos="720"/>
          <w:tab w:val="left" w:pos="1440"/>
          <w:tab w:val="left" w:pos="2160"/>
          <w:tab w:val="left" w:pos="2880"/>
          <w:tab w:val="left" w:pos="3600"/>
          <w:tab w:val="left" w:pos="4320"/>
          <w:tab w:val="left" w:pos="5040"/>
        </w:tabs>
      </w:pPr>
      <w:r>
        <w:tab/>
        <w:t>The bill requires the owners or operators of high hazard trains to provide training to emergency personnel of local governments having jurisdiction along the route that the high hazard trains travel.  It is unclear how much training related to the rail transport of hazardous materials is currently provided to local government emergency services personnel.  However, the training provided by the high hazard train owners and operators will likely reduce the cost to local governments that they may have otherwise incurred providing this training for their local personnel.</w:t>
      </w:r>
    </w:p>
    <w:p w:rsidR="008A15E8" w:rsidRDefault="008A15E8" w:rsidP="008A15E8">
      <w:pPr>
        <w:tabs>
          <w:tab w:val="left" w:pos="360"/>
          <w:tab w:val="left" w:pos="720"/>
          <w:tab w:val="left" w:pos="1440"/>
          <w:tab w:val="left" w:pos="2160"/>
          <w:tab w:val="left" w:pos="2880"/>
          <w:tab w:val="left" w:pos="3600"/>
          <w:tab w:val="left" w:pos="4320"/>
          <w:tab w:val="left" w:pos="5040"/>
        </w:tabs>
      </w:pPr>
      <w:r>
        <w:tab/>
        <w:t>The bill permits the department to assess a civil administrative penalty of up to $25,000 per violation of the bill.  It cannot be determined at this point in time whether owners and operators of high hazard trains will comply with the bill if it were to become law and therefore the amount of fines collected pursuant to the bill cannot be determined.  The net amount of any potential fines, less administrative and legal costs in assessing the fines, would be positive State revenue.</w:t>
      </w:r>
    </w:p>
    <w:p w:rsidR="008A15E8" w:rsidRDefault="008A15E8" w:rsidP="008A15E8">
      <w:pPr>
        <w:tabs>
          <w:tab w:val="left" w:pos="360"/>
          <w:tab w:val="left" w:pos="720"/>
          <w:tab w:val="left" w:pos="1440"/>
          <w:tab w:val="left" w:pos="2160"/>
          <w:tab w:val="left" w:pos="2880"/>
          <w:tab w:val="left" w:pos="3600"/>
          <w:tab w:val="left" w:pos="4320"/>
          <w:tab w:val="left" w:pos="5040"/>
        </w:tabs>
      </w:pPr>
      <w:r>
        <w:tab/>
        <w:t xml:space="preserve">The bill requires the NJ DOT to, annually or whenever it deems necessary, request from the U.S. Department of Transportation a copy of the most recent bridge inspection report for every bridge owned by a railroad or upon which a railroad is located and to submit any bridge inspection </w:t>
      </w:r>
      <w:r>
        <w:lastRenderedPageBreak/>
        <w:t xml:space="preserve">report acquired by the NJ DOT to the Governor and the Legislature.  Staff within the NJ DOT regularly inspect bridges under the jurisdiction of the NJ DOT, thus a request to the U.S. Department of Transportation for additional records and the transmission of those records to the Governor and the Legislature can be completed by existing staff and would not require additional new hires. </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A15E8" w:rsidP="00471786">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B3C38" w:rsidP="00EF17BC">
            <w:pPr>
              <w:pStyle w:val="10pointItalics"/>
            </w:pPr>
            <w:bookmarkStart w:id="3" w:name="UserFullName"/>
            <w:bookmarkEnd w:id="3"/>
            <w:r>
              <w:t>Patrick Brennan</w:t>
            </w:r>
          </w:p>
          <w:p w:rsidR="00EF17BC" w:rsidRDefault="008A15E8" w:rsidP="00EF17BC">
            <w:pPr>
              <w:pStyle w:val="10pointItalics"/>
              <w:rPr>
                <w:sz w:val="24"/>
              </w:rPr>
            </w:pPr>
            <w:r>
              <w:t>Principal Fiscal Analyst</w:t>
            </w:r>
          </w:p>
        </w:tc>
      </w:tr>
      <w:tr w:rsidR="00EF17BC" w:rsidTr="004740F3">
        <w:trPr>
          <w:trHeight w:val="69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B16934" w:rsidRDefault="00B16934" w:rsidP="00EF17BC">
      <w:pPr>
        <w:tabs>
          <w:tab w:val="left" w:pos="360"/>
          <w:tab w:val="left" w:pos="720"/>
          <w:tab w:val="left" w:pos="1440"/>
          <w:tab w:val="left" w:pos="2160"/>
          <w:tab w:val="left" w:pos="2880"/>
          <w:tab w:val="left" w:pos="3600"/>
          <w:tab w:val="left" w:pos="4320"/>
          <w:tab w:val="left" w:pos="5040"/>
        </w:tabs>
      </w:pPr>
    </w:p>
    <w:p w:rsidR="00B16934" w:rsidRDefault="00B16934" w:rsidP="00EF17BC">
      <w:pPr>
        <w:tabs>
          <w:tab w:val="left" w:pos="360"/>
          <w:tab w:val="left" w:pos="720"/>
          <w:tab w:val="left" w:pos="1440"/>
          <w:tab w:val="left" w:pos="2160"/>
          <w:tab w:val="left" w:pos="2880"/>
          <w:tab w:val="left" w:pos="3600"/>
          <w:tab w:val="left" w:pos="4320"/>
          <w:tab w:val="left" w:pos="5040"/>
        </w:tabs>
      </w:pPr>
    </w:p>
    <w:p w:rsidR="00EF17BC" w:rsidRDefault="001F1A4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1A4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66DC3">
      <w:headerReference w:type="default" r:id="rId7"/>
      <w:footerReference w:type="first" r:id="rId8"/>
      <w:pgSz w:w="12240" w:h="20160" w:code="5"/>
      <w:pgMar w:top="1440" w:right="1440" w:bottom="153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A4B" w:rsidRDefault="001F1A4B">
      <w:r>
        <w:separator/>
      </w:r>
    </w:p>
  </w:endnote>
  <w:endnote w:type="continuationSeparator" w:id="0">
    <w:p w:rsidR="001F1A4B" w:rsidRDefault="001F1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2018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978776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A4B" w:rsidRDefault="001F1A4B">
      <w:r>
        <w:separator/>
      </w:r>
    </w:p>
  </w:footnote>
  <w:footnote w:type="continuationSeparator" w:id="0">
    <w:p w:rsidR="001F1A4B" w:rsidRDefault="001F1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A4B" w:rsidRDefault="001F1A4B" w:rsidP="001F1A4B">
    <w:pPr>
      <w:pStyle w:val="Header"/>
      <w:jc w:val="center"/>
    </w:pPr>
    <w:r>
      <w:t>F</w:t>
    </w:r>
    <w:r w:rsidR="00155BB1">
      <w:t>E to S</w:t>
    </w:r>
    <w:r>
      <w:t xml:space="preserve">991 </w:t>
    </w:r>
  </w:p>
  <w:p w:rsidR="001F1A4B" w:rsidRDefault="001F1A4B" w:rsidP="001F1A4B">
    <w:pPr>
      <w:pStyle w:val="Header"/>
      <w:jc w:val="center"/>
    </w:pPr>
    <w:r>
      <w:fldChar w:fldCharType="begin"/>
    </w:r>
    <w:r>
      <w:instrText xml:space="preserve"> PAGE  \* MERGEFORMAT </w:instrText>
    </w:r>
    <w:r>
      <w:fldChar w:fldCharType="separate"/>
    </w:r>
    <w:r w:rsidR="00D2018E">
      <w:rPr>
        <w:noProof/>
      </w:rPr>
      <w:t>4</w:t>
    </w:r>
    <w:r>
      <w:fldChar w:fldCharType="end"/>
    </w:r>
  </w:p>
  <w:p w:rsidR="001F1A4B" w:rsidRDefault="001F1A4B" w:rsidP="001F1A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A4B"/>
    <w:rsid w:val="00011EDD"/>
    <w:rsid w:val="000122FE"/>
    <w:rsid w:val="00013973"/>
    <w:rsid w:val="000333DF"/>
    <w:rsid w:val="00036860"/>
    <w:rsid w:val="00042B0B"/>
    <w:rsid w:val="000514EC"/>
    <w:rsid w:val="000629F9"/>
    <w:rsid w:val="000701B0"/>
    <w:rsid w:val="00070F62"/>
    <w:rsid w:val="000820F8"/>
    <w:rsid w:val="0008691D"/>
    <w:rsid w:val="00095290"/>
    <w:rsid w:val="000A0D64"/>
    <w:rsid w:val="000A16EC"/>
    <w:rsid w:val="000B1CCB"/>
    <w:rsid w:val="000C074D"/>
    <w:rsid w:val="000C50EA"/>
    <w:rsid w:val="000D7670"/>
    <w:rsid w:val="000E08DD"/>
    <w:rsid w:val="000E17DB"/>
    <w:rsid w:val="000F0A12"/>
    <w:rsid w:val="000F231D"/>
    <w:rsid w:val="000F278B"/>
    <w:rsid w:val="000F2B57"/>
    <w:rsid w:val="001106B5"/>
    <w:rsid w:val="00114591"/>
    <w:rsid w:val="00115411"/>
    <w:rsid w:val="001223E7"/>
    <w:rsid w:val="00125D26"/>
    <w:rsid w:val="00142AE8"/>
    <w:rsid w:val="00145CE4"/>
    <w:rsid w:val="00155BB1"/>
    <w:rsid w:val="00157AED"/>
    <w:rsid w:val="00172CF5"/>
    <w:rsid w:val="001907A1"/>
    <w:rsid w:val="00193C26"/>
    <w:rsid w:val="00194789"/>
    <w:rsid w:val="00197240"/>
    <w:rsid w:val="001B1D4B"/>
    <w:rsid w:val="001B2BA9"/>
    <w:rsid w:val="001D0C90"/>
    <w:rsid w:val="001D3FD4"/>
    <w:rsid w:val="001F1A4B"/>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1DA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1DDF"/>
    <w:rsid w:val="00407C9E"/>
    <w:rsid w:val="0041022E"/>
    <w:rsid w:val="004149CC"/>
    <w:rsid w:val="00416166"/>
    <w:rsid w:val="00426C11"/>
    <w:rsid w:val="00471786"/>
    <w:rsid w:val="004740F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36DD"/>
    <w:rsid w:val="005A29FF"/>
    <w:rsid w:val="005A6D23"/>
    <w:rsid w:val="005B587A"/>
    <w:rsid w:val="005C1947"/>
    <w:rsid w:val="005C1E9D"/>
    <w:rsid w:val="005C2E54"/>
    <w:rsid w:val="005E03E7"/>
    <w:rsid w:val="005E75AB"/>
    <w:rsid w:val="00601F73"/>
    <w:rsid w:val="00625D15"/>
    <w:rsid w:val="00651611"/>
    <w:rsid w:val="00653AE2"/>
    <w:rsid w:val="00666DC3"/>
    <w:rsid w:val="006671C7"/>
    <w:rsid w:val="006708FC"/>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2C18"/>
    <w:rsid w:val="00881BED"/>
    <w:rsid w:val="00881EF3"/>
    <w:rsid w:val="00883E7C"/>
    <w:rsid w:val="00886261"/>
    <w:rsid w:val="00894971"/>
    <w:rsid w:val="008A15E8"/>
    <w:rsid w:val="008C0341"/>
    <w:rsid w:val="008D5731"/>
    <w:rsid w:val="008E1349"/>
    <w:rsid w:val="008F67A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4027"/>
    <w:rsid w:val="00A9794C"/>
    <w:rsid w:val="00AB0440"/>
    <w:rsid w:val="00AC2CAC"/>
    <w:rsid w:val="00AC3FC5"/>
    <w:rsid w:val="00AD340B"/>
    <w:rsid w:val="00AE3966"/>
    <w:rsid w:val="00AF11C6"/>
    <w:rsid w:val="00B002D1"/>
    <w:rsid w:val="00B057F1"/>
    <w:rsid w:val="00B143A9"/>
    <w:rsid w:val="00B16934"/>
    <w:rsid w:val="00B4569E"/>
    <w:rsid w:val="00B45879"/>
    <w:rsid w:val="00B551EB"/>
    <w:rsid w:val="00B55F3D"/>
    <w:rsid w:val="00B84AC8"/>
    <w:rsid w:val="00B878CC"/>
    <w:rsid w:val="00B90F8C"/>
    <w:rsid w:val="00B91C0B"/>
    <w:rsid w:val="00B97E24"/>
    <w:rsid w:val="00BA0BE6"/>
    <w:rsid w:val="00BA2122"/>
    <w:rsid w:val="00BA2F3A"/>
    <w:rsid w:val="00BA7661"/>
    <w:rsid w:val="00BB3C38"/>
    <w:rsid w:val="00BF47F9"/>
    <w:rsid w:val="00C07688"/>
    <w:rsid w:val="00C260AB"/>
    <w:rsid w:val="00C32933"/>
    <w:rsid w:val="00C3314D"/>
    <w:rsid w:val="00C75246"/>
    <w:rsid w:val="00C80B0B"/>
    <w:rsid w:val="00C91EDF"/>
    <w:rsid w:val="00C97447"/>
    <w:rsid w:val="00CC6622"/>
    <w:rsid w:val="00D2018E"/>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67CD"/>
    <w:rsid w:val="00E32D2F"/>
    <w:rsid w:val="00E51E95"/>
    <w:rsid w:val="00E5461B"/>
    <w:rsid w:val="00E644D3"/>
    <w:rsid w:val="00E708C9"/>
    <w:rsid w:val="00E74E35"/>
    <w:rsid w:val="00E75B93"/>
    <w:rsid w:val="00E86D2A"/>
    <w:rsid w:val="00E9123C"/>
    <w:rsid w:val="00E92853"/>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BC3"/>
    <w:rsid w:val="00F51DD4"/>
    <w:rsid w:val="00F64D56"/>
    <w:rsid w:val="00F73621"/>
    <w:rsid w:val="00F82B11"/>
    <w:rsid w:val="00F873F0"/>
    <w:rsid w:val="00FA0939"/>
    <w:rsid w:val="00FA6D2B"/>
    <w:rsid w:val="00FB15DB"/>
    <w:rsid w:val="00FB61B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C4B0660-B80A-4B38-832B-2C56620A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55BB1"/>
    <w:pPr>
      <w:ind w:left="720"/>
      <w:contextualSpacing/>
    </w:pPr>
  </w:style>
  <w:style w:type="paragraph" w:styleId="BalloonText">
    <w:name w:val="Balloon Text"/>
    <w:basedOn w:val="Normal"/>
    <w:link w:val="BalloonTextChar"/>
    <w:semiHidden/>
    <w:unhideWhenUsed/>
    <w:rsid w:val="00BA76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6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1587</Words>
  <Characters>8286</Characters>
  <Application>Microsoft Office Word</Application>
  <DocSecurity>0</DocSecurity>
  <Lines>169</Lines>
  <Paragraphs>55</Paragraphs>
  <ScaleCrop>false</ScaleCrop>
  <HeadingPairs>
    <vt:vector size="2" baseType="variant">
      <vt:variant>
        <vt:lpstr>Title</vt:lpstr>
      </vt:variant>
      <vt:variant>
        <vt:i4>1</vt:i4>
      </vt:variant>
    </vt:vector>
  </HeadingPairs>
  <TitlesOfParts>
    <vt:vector size="1" baseType="lpstr">
      <vt:lpstr>S991   FISCAL ESTIMATE</vt:lpstr>
    </vt:vector>
  </TitlesOfParts>
  <Manager>Patrick Brennan; R224</Manager>
  <Company>Office of Legislative Services</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FISCAL ESTIMATE</dc:title>
  <dc:creator>Senator WEINBERG, Senator TURNER </dc:creator>
  <cp:keywords>S991|4|AU |261|0|0|!||</cp:keywords>
  <cp:lastModifiedBy>Franks, Denise</cp:lastModifiedBy>
  <cp:revision>2</cp:revision>
  <cp:lastPrinted>2021-11-08T15:58:00Z</cp:lastPrinted>
  <dcterms:created xsi:type="dcterms:W3CDTF">2021-11-08T16:54:00Z</dcterms:created>
  <dcterms:modified xsi:type="dcterms:W3CDTF">2021-11-08T16:54:00Z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