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123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D123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991</w:t>
      </w:r>
      <w:r w:rsidR="0063703D" w:rsidRPr="00ED5E27">
        <w:rPr>
          <w:b/>
          <w:sz w:val="36"/>
          <w:szCs w:val="36"/>
        </w:rPr>
        <w:t xml:space="preserve"> </w:t>
      </w:r>
    </w:p>
    <w:p w:rsidR="00FD123E" w:rsidRDefault="00FD123E" w:rsidP="00ED5E27">
      <w:pPr>
        <w:pStyle w:val="TopofPage1"/>
        <w:rPr>
          <w:sz w:val="24"/>
          <w:szCs w:val="36"/>
        </w:rPr>
      </w:pPr>
    </w:p>
    <w:p w:rsidR="00FD123E" w:rsidRPr="00FD123E" w:rsidRDefault="00FD123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070C">
        <w:rPr>
          <w:caps/>
          <w:szCs w:val="24"/>
        </w:rPr>
        <w:t>November 8</w:t>
      </w:r>
      <w:r w:rsidR="00FD123E">
        <w:rPr>
          <w:caps/>
          <w:szCs w:val="24"/>
        </w:rPr>
        <w:t>, 2021</w:t>
      </w:r>
    </w:p>
    <w:p w:rsidR="004144CF" w:rsidRDefault="004144CF" w:rsidP="0083060A"/>
    <w:p w:rsidR="00E8636A" w:rsidRDefault="00E8636A" w:rsidP="00E8636A">
      <w:r>
        <w:tab/>
        <w:t>The Senate Budget and Appropriations Committee reports favorably Senate Bill No. 991</w:t>
      </w:r>
      <w:r w:rsidR="008B070C">
        <w:t>, with committee amendments</w:t>
      </w:r>
      <w:r>
        <w:t>.</w:t>
      </w:r>
    </w:p>
    <w:p w:rsidR="00E8636A" w:rsidRPr="009954EC" w:rsidRDefault="00E8636A" w:rsidP="00E8636A">
      <w:pPr>
        <w:rPr>
          <w:spacing w:val="4"/>
          <w:szCs w:val="24"/>
        </w:rPr>
      </w:pPr>
      <w:r>
        <w:tab/>
        <w:t>As</w:t>
      </w:r>
      <w:r w:rsidR="002B1B02">
        <w:t xml:space="preserve"> amended</w:t>
      </w:r>
      <w:r>
        <w:t xml:space="preserve">, </w:t>
      </w:r>
      <w:r>
        <w:rPr>
          <w:spacing w:val="4"/>
          <w:szCs w:val="24"/>
        </w:rPr>
        <w:t>t</w:t>
      </w:r>
      <w:r w:rsidRPr="009954EC">
        <w:rPr>
          <w:spacing w:val="4"/>
          <w:szCs w:val="24"/>
        </w:rPr>
        <w:t>his bill requires the owner or operator of a high hazard train traveling within this State to submit to the Department of Environmental Protection (department) within six months of the effective date of the bill a discharge response, cleanup, and contingency plan (plan) th</w:t>
      </w:r>
      <w:r>
        <w:rPr>
          <w:spacing w:val="4"/>
          <w:szCs w:val="24"/>
        </w:rPr>
        <w:t>at contains certain information</w:t>
      </w:r>
      <w:r w:rsidRPr="009954EC">
        <w:rPr>
          <w:spacing w:val="4"/>
          <w:szCs w:val="24"/>
        </w:rPr>
        <w:t>.</w:t>
      </w:r>
    </w:p>
    <w:p w:rsidR="00E8636A" w:rsidRPr="009954EC" w:rsidRDefault="00E8636A" w:rsidP="00E863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E8636A" w:rsidRPr="009954EC" w:rsidRDefault="00E8636A" w:rsidP="00E863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Under the bill, the owner or operator of a high hazard train is required to make available to the public on its website, to the extent the release of the information does not conflict with feder</w:t>
      </w:r>
      <w:r>
        <w:rPr>
          <w:spacing w:val="4"/>
          <w:szCs w:val="24"/>
        </w:rPr>
        <w:t xml:space="preserve">al law, information concerning: </w:t>
      </w:r>
      <w:r w:rsidRPr="009954EC">
        <w:rPr>
          <w:spacing w:val="4"/>
          <w:szCs w:val="24"/>
        </w:rPr>
        <w:t>an analysis of the consequences of maximum discharges from the high hazard trains owned or operated in the State;</w:t>
      </w:r>
      <w:r w:rsidR="006B114A">
        <w:rPr>
          <w:spacing w:val="4"/>
          <w:szCs w:val="24"/>
        </w:rPr>
        <w:t xml:space="preserve"> and</w:t>
      </w:r>
      <w:r w:rsidRPr="009954EC">
        <w:rPr>
          <w:spacing w:val="4"/>
          <w:szCs w:val="24"/>
        </w:rPr>
        <w:t xml:space="preserve"> a copy of the most current plan.</w:t>
      </w:r>
    </w:p>
    <w:p w:rsidR="00E8636A" w:rsidRPr="009954EC" w:rsidRDefault="00E8636A" w:rsidP="00E863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E8636A" w:rsidRPr="009954EC" w:rsidRDefault="00E8636A" w:rsidP="00E863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owner or operator of a high hazard train, which has experienced a discharge that requires emergency response action, to deliver and deploy sufficient emergency response, recovery, and containment equipment and trained </w:t>
      </w:r>
      <w:r w:rsidRPr="009954EC">
        <w:rPr>
          <w:spacing w:val="4"/>
          <w:szCs w:val="24"/>
        </w:rPr>
        <w:lastRenderedPageBreak/>
        <w:t>personnel to contain and re</w:t>
      </w:r>
      <w:r w:rsidR="00EE2A34">
        <w:rPr>
          <w:spacing w:val="4"/>
          <w:szCs w:val="24"/>
        </w:rPr>
        <w:t xml:space="preserve">cover the discharged materials </w:t>
      </w:r>
      <w:r w:rsidRPr="009954EC">
        <w:rPr>
          <w:spacing w:val="4"/>
          <w:szCs w:val="24"/>
        </w:rPr>
        <w:t>and protect environmentally sensitive areas and potable water intakes within certain timeframes.</w:t>
      </w:r>
    </w:p>
    <w:p w:rsidR="00E8636A" w:rsidRPr="009954EC" w:rsidRDefault="00E8636A" w:rsidP="00E863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w:t>
      </w:r>
      <w:r w:rsidR="008B070C">
        <w:rPr>
          <w:spacing w:val="4"/>
          <w:szCs w:val="24"/>
        </w:rPr>
        <w:t>es from the provisions of the “</w:t>
      </w:r>
      <w:r w:rsidRPr="009954EC">
        <w:rPr>
          <w:spacing w:val="4"/>
          <w:szCs w:val="24"/>
        </w:rPr>
        <w:t>Spill Compensation and Control Act.”</w:t>
      </w:r>
    </w:p>
    <w:p w:rsidR="00E8636A" w:rsidRPr="009954EC" w:rsidRDefault="00E8636A" w:rsidP="00E863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bill requires the department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w:t>
      </w:r>
      <w:r w:rsidR="008B070C">
        <w:rPr>
          <w:spacing w:val="4"/>
          <w:szCs w:val="24"/>
        </w:rPr>
        <w:t>tive relief provisions of the “</w:t>
      </w:r>
      <w:r w:rsidRPr="009954EC">
        <w:rPr>
          <w:spacing w:val="4"/>
          <w:szCs w:val="24"/>
        </w:rPr>
        <w:t xml:space="preserve">Spill Compensation and Control Act.”  </w:t>
      </w:r>
    </w:p>
    <w:p w:rsidR="00E8636A" w:rsidRPr="009954EC" w:rsidRDefault="00E8636A" w:rsidP="00E863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New Jersey Office of Emergency Management is to provide certain information to certain county offices of emergency management and emergency services.</w:t>
      </w:r>
    </w:p>
    <w:p w:rsidR="00655CA3" w:rsidRDefault="00E8636A" w:rsidP="00E8636A">
      <w:pPr>
        <w:rPr>
          <w:spacing w:val="4"/>
          <w:szCs w:val="24"/>
        </w:rPr>
      </w:pPr>
      <w:r w:rsidRPr="009954EC">
        <w:rPr>
          <w:spacing w:val="4"/>
          <w:szCs w:val="24"/>
        </w:rPr>
        <w:tab/>
        <w:t>The bill requires the department to, annually or whenever deemed necessary, request from the U.S. Department of Transportation a copy of the most recent bridge inspection report generated pursuant to</w:t>
      </w:r>
      <w:r w:rsidR="008B070C">
        <w:rPr>
          <w:spacing w:val="4"/>
          <w:szCs w:val="24"/>
        </w:rPr>
        <w:t xml:space="preserve"> the federal “</w:t>
      </w:r>
      <w:r w:rsidRPr="009954EC">
        <w:rPr>
          <w:spacing w:val="4"/>
          <w:szCs w:val="24"/>
        </w:rPr>
        <w:t>Rail Safety Improvement Act of 2008”  for every bridge owned by a railroad or upon which a railroad is located.  The department is to submit any bridge inspection report acquired from the U.S. Department of Transportation to the Governor and the Legislature.</w:t>
      </w:r>
    </w:p>
    <w:p w:rsidR="008B070C" w:rsidRDefault="008B070C" w:rsidP="00E8636A">
      <w:pPr>
        <w:rPr>
          <w:spacing w:val="4"/>
          <w:szCs w:val="24"/>
        </w:rPr>
      </w:pPr>
    </w:p>
    <w:p w:rsidR="008B070C" w:rsidRPr="008B070C" w:rsidRDefault="008B070C" w:rsidP="00E8636A">
      <w:pPr>
        <w:rPr>
          <w:u w:val="double"/>
        </w:rPr>
      </w:pPr>
      <w:r>
        <w:rPr>
          <w:spacing w:val="4"/>
          <w:szCs w:val="24"/>
          <w:u w:val="double"/>
        </w:rPr>
        <w:t>COMMITTEE AMENDMENTS:</w:t>
      </w:r>
    </w:p>
    <w:p w:rsidR="004B2ABF" w:rsidRDefault="00E8636A" w:rsidP="0083060A">
      <w:pPr>
        <w:rPr>
          <w:spacing w:val="4"/>
          <w:szCs w:val="24"/>
        </w:rPr>
      </w:pPr>
      <w:r>
        <w:tab/>
        <w:t xml:space="preserve">The committee amendments remove a provision in the bill </w:t>
      </w:r>
      <w:r w:rsidR="00654CCE">
        <w:t>that would have required</w:t>
      </w:r>
      <w:r>
        <w:t xml:space="preserve"> </w:t>
      </w:r>
      <w:r w:rsidRPr="009954EC">
        <w:rPr>
          <w:spacing w:val="4"/>
          <w:szCs w:val="24"/>
        </w:rPr>
        <w:t>the owner or operator of a high hazard train to make available to the public on its website</w:t>
      </w:r>
      <w:r>
        <w:rPr>
          <w:spacing w:val="4"/>
          <w:szCs w:val="24"/>
        </w:rPr>
        <w:t xml:space="preserve"> information concerning </w:t>
      </w:r>
      <w:r w:rsidR="00654CCE">
        <w:rPr>
          <w:spacing w:val="4"/>
          <w:szCs w:val="24"/>
        </w:rPr>
        <w:t>the routes and volumes of cargo for the trains updated on a monthly basis</w:t>
      </w:r>
      <w:r w:rsidR="006B114A">
        <w:rPr>
          <w:spacing w:val="4"/>
          <w:szCs w:val="24"/>
        </w:rPr>
        <w:t xml:space="preserve"> and the</w:t>
      </w:r>
      <w:r w:rsidR="006B114A" w:rsidRPr="009954EC">
        <w:rPr>
          <w:spacing w:val="4"/>
          <w:szCs w:val="24"/>
        </w:rPr>
        <w:t xml:space="preserve"> routing analysis and any accompanying documentation that impacted the owner or operator’s decision in routing the high hazard train through the State</w:t>
      </w:r>
      <w:r w:rsidR="006B114A">
        <w:rPr>
          <w:spacing w:val="4"/>
          <w:szCs w:val="24"/>
        </w:rPr>
        <w:t>.</w:t>
      </w:r>
    </w:p>
    <w:p w:rsidR="00A95293" w:rsidRDefault="00A95293" w:rsidP="0083060A">
      <w:pPr>
        <w:rPr>
          <w:spacing w:val="4"/>
          <w:szCs w:val="24"/>
        </w:rPr>
      </w:pPr>
    </w:p>
    <w:p w:rsidR="00A95293" w:rsidRDefault="00A95293" w:rsidP="0083060A">
      <w:pPr>
        <w:rPr>
          <w:spacing w:val="4"/>
          <w:szCs w:val="24"/>
          <w:u w:val="double"/>
        </w:rPr>
      </w:pPr>
      <w:r>
        <w:rPr>
          <w:spacing w:val="4"/>
          <w:szCs w:val="24"/>
          <w:u w:val="double"/>
        </w:rPr>
        <w:t>FISCAL IMPACT:</w:t>
      </w:r>
    </w:p>
    <w:p w:rsidR="002E78E3" w:rsidRDefault="002E78E3" w:rsidP="002E78E3">
      <w:r>
        <w:tab/>
        <w:t xml:space="preserve">The Office of Legislative Services (OLS) projects that the bill will increase the annual administrative expenditures of the Department of Environmental Protection (DEP).  The magnitude of the increase depends, in part, on DEP operating decisions, which the OLS cannot </w:t>
      </w:r>
      <w:r>
        <w:lastRenderedPageBreak/>
        <w:t xml:space="preserve">anticipate.  At a minimum, however, a new full-time staff member may be required to evaluate, approve, and retain high hazard train discharge response, cleanup, and contingency plans at a compensation level of $80,000 to $120,000 per year, with approximately $10,000 annually in equipment and materials to support these activities.  </w:t>
      </w:r>
    </w:p>
    <w:p w:rsidR="002E78E3" w:rsidRDefault="002E78E3" w:rsidP="002E78E3">
      <w:r>
        <w:tab/>
        <w:t>In addition, annual DEP revenue collections may increase to the extent that the department assesses civil administrative penalties of up to $25,000 per violation of the bill’s requirements.  It is unknown how many violations will occur and what penalties the department may impose.  Accordingly, the OLS cannot determine the frequency and scale of the potential revenue gain.</w:t>
      </w:r>
    </w:p>
    <w:p w:rsidR="00A95293" w:rsidRPr="005363B1" w:rsidRDefault="002E78E3" w:rsidP="0083060A">
      <w:r>
        <w:tab/>
        <w:t>Lastly, local governments may experience recurring cost decreases insofar as the bill requirement that owners and operators of high hazard trains newly offer specialized training for local government emergency services personnel along the travel routes of the high hazard trains obviates the need for concerned local governments to provide this training at their own expense.</w:t>
      </w:r>
    </w:p>
    <w:sectPr w:rsidR="00A95293" w:rsidRPr="005363B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23E" w:rsidRDefault="00FD123E">
      <w:r>
        <w:separator/>
      </w:r>
    </w:p>
  </w:endnote>
  <w:endnote w:type="continuationSeparator" w:id="0">
    <w:p w:rsidR="00FD123E" w:rsidRDefault="00FD1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23E" w:rsidRDefault="00FD123E">
      <w:r>
        <w:separator/>
      </w:r>
    </w:p>
  </w:footnote>
  <w:footnote w:type="continuationSeparator" w:id="0">
    <w:p w:rsidR="00FD123E" w:rsidRDefault="00FD1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363B1" w:rsidP="005363B1">
    <w:pPr>
      <w:pStyle w:val="HeaderPage2"/>
      <w:jc w:val="center"/>
    </w:pPr>
    <w:r>
      <w:fldChar w:fldCharType="begin"/>
    </w:r>
    <w:r>
      <w:instrText xml:space="preserve"> PAGE  \* MERGEFORMAT </w:instrText>
    </w:r>
    <w:r>
      <w:fldChar w:fldCharType="separate"/>
    </w:r>
    <w:r w:rsidR="005D120C">
      <w:rPr>
        <w:noProof/>
      </w:rPr>
      <w:t>3</w:t>
    </w:r>
    <w:r>
      <w:fldChar w:fldCharType="end"/>
    </w:r>
  </w:p>
  <w:p w:rsidR="005363B1" w:rsidRDefault="005363B1" w:rsidP="005363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23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121"/>
    <w:rsid w:val="000B3E82"/>
    <w:rsid w:val="000B5230"/>
    <w:rsid w:val="000B7E9C"/>
    <w:rsid w:val="000C0599"/>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B92"/>
    <w:rsid w:val="00263BD8"/>
    <w:rsid w:val="002746FB"/>
    <w:rsid w:val="00277144"/>
    <w:rsid w:val="00280CC7"/>
    <w:rsid w:val="002862BF"/>
    <w:rsid w:val="00290291"/>
    <w:rsid w:val="00292D7C"/>
    <w:rsid w:val="002A2454"/>
    <w:rsid w:val="002A401D"/>
    <w:rsid w:val="002A52AF"/>
    <w:rsid w:val="002B05F7"/>
    <w:rsid w:val="002B1B02"/>
    <w:rsid w:val="002C19EE"/>
    <w:rsid w:val="002D29CF"/>
    <w:rsid w:val="002D5DF6"/>
    <w:rsid w:val="002E78E3"/>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069"/>
    <w:rsid w:val="003779C2"/>
    <w:rsid w:val="00380D7C"/>
    <w:rsid w:val="0038423A"/>
    <w:rsid w:val="00385E25"/>
    <w:rsid w:val="003A1FF6"/>
    <w:rsid w:val="003A2064"/>
    <w:rsid w:val="003A7D21"/>
    <w:rsid w:val="003B227A"/>
    <w:rsid w:val="003B6728"/>
    <w:rsid w:val="003B74FA"/>
    <w:rsid w:val="003C17E5"/>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3B1"/>
    <w:rsid w:val="00550947"/>
    <w:rsid w:val="005644EB"/>
    <w:rsid w:val="005722B9"/>
    <w:rsid w:val="00581591"/>
    <w:rsid w:val="005877B1"/>
    <w:rsid w:val="005A10AB"/>
    <w:rsid w:val="005A50C7"/>
    <w:rsid w:val="005A5CB6"/>
    <w:rsid w:val="005B0C35"/>
    <w:rsid w:val="005C1CB5"/>
    <w:rsid w:val="005C2E96"/>
    <w:rsid w:val="005C51A8"/>
    <w:rsid w:val="005D120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CCE"/>
    <w:rsid w:val="00655CA3"/>
    <w:rsid w:val="0066141A"/>
    <w:rsid w:val="006618EC"/>
    <w:rsid w:val="00662ED4"/>
    <w:rsid w:val="00662FBD"/>
    <w:rsid w:val="006A0AE6"/>
    <w:rsid w:val="006A11CC"/>
    <w:rsid w:val="006A1A3C"/>
    <w:rsid w:val="006A2F8D"/>
    <w:rsid w:val="006A3288"/>
    <w:rsid w:val="006A5D7B"/>
    <w:rsid w:val="006B114A"/>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7C0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70C"/>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29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54A"/>
    <w:rsid w:val="00B43C57"/>
    <w:rsid w:val="00B50AEA"/>
    <w:rsid w:val="00B51413"/>
    <w:rsid w:val="00B52FED"/>
    <w:rsid w:val="00B54579"/>
    <w:rsid w:val="00B54A1A"/>
    <w:rsid w:val="00B56514"/>
    <w:rsid w:val="00B56A4C"/>
    <w:rsid w:val="00B62264"/>
    <w:rsid w:val="00B65DAF"/>
    <w:rsid w:val="00B66139"/>
    <w:rsid w:val="00B66B62"/>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C5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426"/>
    <w:rsid w:val="00CE74A8"/>
    <w:rsid w:val="00CF030F"/>
    <w:rsid w:val="00CF18CB"/>
    <w:rsid w:val="00CF27F3"/>
    <w:rsid w:val="00CF6E1F"/>
    <w:rsid w:val="00D05E75"/>
    <w:rsid w:val="00D103E8"/>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634"/>
    <w:rsid w:val="00E12FEF"/>
    <w:rsid w:val="00E3262F"/>
    <w:rsid w:val="00E34AD9"/>
    <w:rsid w:val="00E35F08"/>
    <w:rsid w:val="00E44D5D"/>
    <w:rsid w:val="00E50BCB"/>
    <w:rsid w:val="00E550E6"/>
    <w:rsid w:val="00E60E7B"/>
    <w:rsid w:val="00E62452"/>
    <w:rsid w:val="00E636F3"/>
    <w:rsid w:val="00E651F9"/>
    <w:rsid w:val="00E764D9"/>
    <w:rsid w:val="00E8408C"/>
    <w:rsid w:val="00E8636A"/>
    <w:rsid w:val="00E90CBC"/>
    <w:rsid w:val="00E941A7"/>
    <w:rsid w:val="00E97A05"/>
    <w:rsid w:val="00E97C34"/>
    <w:rsid w:val="00EA034A"/>
    <w:rsid w:val="00EA09B8"/>
    <w:rsid w:val="00EA36EA"/>
    <w:rsid w:val="00EC66C0"/>
    <w:rsid w:val="00ED0598"/>
    <w:rsid w:val="00ED16A7"/>
    <w:rsid w:val="00ED5E27"/>
    <w:rsid w:val="00EE2498"/>
    <w:rsid w:val="00EE2A34"/>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23E"/>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76E057B0-49F7-4D2C-A47C-A16BD1368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983</Words>
  <Characters>5161</Characters>
  <Application>Microsoft Office Word</Application>
  <DocSecurity>0</DocSecurity>
  <Lines>112</Lines>
  <Paragraphs>22</Paragraphs>
  <ScaleCrop>false</ScaleCrop>
  <HeadingPairs>
    <vt:vector size="2" baseType="variant">
      <vt:variant>
        <vt:lpstr>Title</vt:lpstr>
      </vt:variant>
      <vt:variant>
        <vt:i4>1</vt:i4>
      </vt:variant>
    </vt:vector>
  </HeadingPairs>
  <TitlesOfParts>
    <vt:vector size="1" baseType="lpstr">
      <vt:lpstr>S991 SBA Statement 11/8/21</vt:lpstr>
    </vt:vector>
  </TitlesOfParts>
  <Manager>R230</Manager>
  <Company>NJ OLS DMU</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SBA Statement 11/8/21</dc:title>
  <dc:subject/>
  <dc:creator>Senate SBA</dc:creator>
  <cp:keywords>S991|3|AU |270|0|0|!||</cp:keywords>
  <dc:description/>
  <cp:lastModifiedBy>Bektas, Brenda</cp:lastModifiedBy>
  <cp:revision>2</cp:revision>
  <cp:lastPrinted>1999-09-30T17:29:00Z</cp:lastPrinted>
  <dcterms:created xsi:type="dcterms:W3CDTF">2021-11-09T18:06:00Z</dcterms:created>
  <dcterms:modified xsi:type="dcterms:W3CDTF">2021-11-09T18:06:00Z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