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FB3" w:rsidRDefault="00C52FB3" w:rsidP="00C52FB3">
      <w:pPr>
        <w:pStyle w:val="bpuBill"/>
      </w:pPr>
      <w:bookmarkStart w:id="0" w:name="bpuFrontPg"/>
      <w:bookmarkStart w:id="1" w:name="_GoBack"/>
      <w:bookmarkEnd w:id="0"/>
      <w:bookmarkEnd w:id="1"/>
      <w:r>
        <w:t xml:space="preserve">SENATE, No. 1209 </w:t>
      </w:r>
    </w:p>
    <w:p w:rsidR="00C52FB3" w:rsidRPr="009D38FF" w:rsidRDefault="00C52FB3" w:rsidP="00C52F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5370" r:id="rId7"/>
        </w:object>
      </w:r>
    </w:p>
    <w:p w:rsidR="00C52FB3" w:rsidRDefault="00C52FB3" w:rsidP="00C52FB3">
      <w:pPr>
        <w:pStyle w:val="bpuState"/>
      </w:pPr>
      <w:r>
        <w:t>STATE OF NEW JERSEY</w:t>
      </w:r>
    </w:p>
    <w:p w:rsidR="00C52FB3" w:rsidRDefault="00C52FB3" w:rsidP="00C52FB3">
      <w:pPr>
        <w:pStyle w:val="bpuLegislature"/>
      </w:pPr>
      <w:r>
        <w:t>219th LEGISLATURE</w:t>
      </w:r>
    </w:p>
    <w:p w:rsidR="00C52FB3" w:rsidRDefault="00C52FB3" w:rsidP="00C52FB3">
      <w:pPr>
        <w:pStyle w:val="bpuWpGraphic"/>
      </w:pPr>
      <w:r>
        <w:object w:dxaOrig="8985" w:dyaOrig="255">
          <v:shape id="_x0000_i1026" type="#_x0000_t75" style="width:6in;height:12pt" o:ole="">
            <v:imagedata r:id="rId6" o:title=""/>
          </v:shape>
          <o:OLEObject Type="Embed" ProgID="WPWin6.1" ShapeID="_x0000_i1026" DrawAspect="Content" ObjectID="_1642315371" r:id="rId8"/>
        </w:object>
      </w:r>
      <w:r>
        <w:t xml:space="preserve">  </w:t>
      </w:r>
    </w:p>
    <w:p w:rsidR="00C52FB3" w:rsidRDefault="00C52FB3" w:rsidP="00C52FB3">
      <w:pPr>
        <w:pStyle w:val="bpuIntro"/>
      </w:pPr>
      <w:r>
        <w:t>INTRODUCED FEBRUARY 3, 2020</w:t>
      </w:r>
    </w:p>
    <w:p w:rsidR="00C52FB3" w:rsidRDefault="00C52FB3" w:rsidP="00C52FB3">
      <w:pPr>
        <w:pStyle w:val="bpuIntro"/>
      </w:pPr>
    </w:p>
    <w:p w:rsidR="00C52FB3" w:rsidRDefault="00C52FB3" w:rsidP="00C52FB3">
      <w:pPr>
        <w:pStyle w:val="bpuIntro"/>
        <w:sectPr w:rsidR="00C52FB3" w:rsidSect="00C52FB3">
          <w:headerReference w:type="even" r:id="rId9"/>
          <w:headerReference w:type="default" r:id="rId10"/>
          <w:pgSz w:w="12240" w:h="20160" w:code="5"/>
          <w:pgMar w:top="2160" w:right="1440" w:bottom="1440" w:left="1440" w:header="72" w:footer="720" w:gutter="0"/>
          <w:pgNumType w:start="1"/>
          <w:cols w:space="720"/>
          <w:docGrid w:linePitch="360"/>
        </w:sectPr>
      </w:pPr>
    </w:p>
    <w:p w:rsidR="00C52FB3" w:rsidRDefault="00C52FB3" w:rsidP="00C52FB3">
      <w:pPr>
        <w:pStyle w:val="bpuIntro"/>
      </w:pPr>
    </w:p>
    <w:p w:rsidR="00C52FB3" w:rsidRDefault="00C52FB3" w:rsidP="00C52FB3">
      <w:pPr>
        <w:pStyle w:val="bpuSponsor"/>
      </w:pPr>
      <w:r>
        <w:t>Sponsored by:</w:t>
      </w:r>
    </w:p>
    <w:p w:rsidR="00C52FB3" w:rsidRDefault="00C52FB3" w:rsidP="00C52FB3">
      <w:pPr>
        <w:pStyle w:val="bpuSponsor"/>
      </w:pPr>
      <w:r>
        <w:t>Senator  JOSEPH P. CRYAN</w:t>
      </w:r>
    </w:p>
    <w:p w:rsidR="00C52FB3" w:rsidRDefault="00C52FB3" w:rsidP="00C52FB3">
      <w:pPr>
        <w:pStyle w:val="bpuSponsor"/>
      </w:pPr>
      <w:r>
        <w:t>District 20 (Union)</w:t>
      </w:r>
    </w:p>
    <w:p w:rsidR="00C52FB3" w:rsidRDefault="00C52FB3" w:rsidP="00C52FB3">
      <w:pPr>
        <w:pStyle w:val="bpuSponsor"/>
      </w:pPr>
    </w:p>
    <w:p w:rsidR="00C52FB3" w:rsidRDefault="00C52FB3" w:rsidP="00C52FB3">
      <w:pPr>
        <w:pStyle w:val="bpuSponsor"/>
      </w:pPr>
    </w:p>
    <w:p w:rsidR="00C52FB3" w:rsidRDefault="00C52FB3" w:rsidP="00C52FB3">
      <w:pPr>
        <w:pStyle w:val="bpuSponsor"/>
      </w:pPr>
    </w:p>
    <w:p w:rsidR="00C52FB3" w:rsidRDefault="00C52FB3" w:rsidP="00C52FB3">
      <w:pPr>
        <w:pStyle w:val="bpuSponsor"/>
      </w:pPr>
    </w:p>
    <w:p w:rsidR="00C52FB3" w:rsidRDefault="00C52FB3" w:rsidP="00C52FB3">
      <w:pPr>
        <w:pStyle w:val="bpuSponsor"/>
      </w:pPr>
      <w:r>
        <w:t>SYNOPSIS</w:t>
      </w:r>
    </w:p>
    <w:p w:rsidR="00C52FB3" w:rsidRDefault="007961C5" w:rsidP="00C52FB3">
      <w:pPr>
        <w:pStyle w:val="bpuNormText"/>
      </w:pPr>
      <w:r>
        <w:tab/>
      </w:r>
      <w:r w:rsidR="00C52FB3">
        <w:t xml:space="preserve">Establishes presumption that VCCO will order payment to victim of crime. </w:t>
      </w:r>
    </w:p>
    <w:p w:rsidR="00C52FB3" w:rsidRDefault="00C52FB3" w:rsidP="00C52FB3">
      <w:pPr>
        <w:pStyle w:val="bpuNormText"/>
      </w:pPr>
    </w:p>
    <w:p w:rsidR="00C52FB3" w:rsidRDefault="00C52FB3" w:rsidP="00C52FB3">
      <w:pPr>
        <w:pStyle w:val="bpuSponsor"/>
      </w:pPr>
      <w:r>
        <w:t xml:space="preserve">CURRENT VERSION OF TEXT </w:t>
      </w:r>
    </w:p>
    <w:p w:rsidR="00C52FB3" w:rsidRDefault="00C52FB3" w:rsidP="00C52FB3">
      <w:pPr>
        <w:pStyle w:val="bpuNormText"/>
      </w:pPr>
      <w:r>
        <w:tab/>
        <w:t>As introduced.</w:t>
      </w:r>
    </w:p>
    <w:p w:rsidR="00C52FB3" w:rsidRDefault="00C52FB3" w:rsidP="00C52F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52FB3" w:rsidRDefault="00C52FB3" w:rsidP="008916EC">
      <w:pPr>
        <w:pStyle w:val="FronterPage"/>
        <w:tabs>
          <w:tab w:val="clear" w:pos="720"/>
          <w:tab w:val="clear" w:pos="1440"/>
          <w:tab w:val="clear" w:pos="2160"/>
          <w:tab w:val="clear" w:pos="2880"/>
          <w:tab w:val="clear" w:pos="3600"/>
          <w:tab w:val="clear" w:pos="4320"/>
          <w:tab w:val="clear" w:pos="5040"/>
        </w:tabs>
        <w:sectPr w:rsidR="00C52FB3" w:rsidSect="00C52FB3">
          <w:type w:val="continuous"/>
          <w:pgSz w:w="12240" w:h="20160" w:code="5"/>
          <w:pgMar w:top="1440" w:right="2275" w:bottom="1440" w:left="2275" w:header="72" w:footer="720" w:gutter="0"/>
          <w:pgNumType w:start="1"/>
          <w:cols w:space="720"/>
          <w:docGrid w:linePitch="360"/>
        </w:sectPr>
      </w:pPr>
    </w:p>
    <w:p w:rsidR="00FF7DE3" w:rsidRPr="00677316" w:rsidRDefault="00FF7DE3" w:rsidP="00FF7DE3">
      <w:pPr>
        <w:pStyle w:val="HangingAnAct"/>
        <w:rPr>
          <w:rStyle w:val="HangingAnActChar"/>
        </w:rPr>
      </w:pPr>
      <w:r w:rsidRPr="00FF7DE3">
        <w:rPr>
          <w:rStyle w:val="BillHead"/>
        </w:rPr>
        <w:lastRenderedPageBreak/>
        <w:t>An Act</w:t>
      </w:r>
      <w:r w:rsidRPr="006B7FA7">
        <w:rPr>
          <w:rStyle w:val="HangingAnActChar"/>
        </w:rPr>
        <w:t xml:space="preserve"> </w:t>
      </w:r>
      <w:r>
        <w:rPr>
          <w:rStyle w:val="HangingAnActChar"/>
        </w:rPr>
        <w:t>concerning victim compensation and amending P.L.</w:t>
      </w:r>
      <w:r>
        <w:t xml:space="preserve">1971, c.317.  </w:t>
      </w:r>
    </w:p>
    <w:p w:rsidR="00FF7DE3" w:rsidRPr="00D71D68" w:rsidRDefault="00FF7DE3" w:rsidP="00FF7DE3"/>
    <w:p w:rsidR="00FF7DE3" w:rsidRPr="00AA7880" w:rsidRDefault="00FF7DE3" w:rsidP="00FF7DE3">
      <w:r>
        <w:tab/>
      </w:r>
      <w:r>
        <w:rPr>
          <w:rStyle w:val="BillHeading2"/>
        </w:rPr>
        <w:t xml:space="preserve">Be It Enacted </w:t>
      </w:r>
      <w:r>
        <w:rPr>
          <w:rStyle w:val="BillLanguage"/>
        </w:rPr>
        <w:t>by the Senate and General Assembly of the State of New Jersey:</w:t>
      </w:r>
    </w:p>
    <w:p w:rsidR="00FF7DE3" w:rsidRDefault="00FF7DE3" w:rsidP="00FF7DE3"/>
    <w:p w:rsidR="00FF7DE3" w:rsidRDefault="00FF7DE3" w:rsidP="00FF7DE3">
      <w:r>
        <w:tab/>
        <w:t>1.</w:t>
      </w:r>
      <w:r>
        <w:tab/>
        <w:t>Section 10 of P.L.1971, c.317 (C.52:4B-10) is amended to read as follows:</w:t>
      </w:r>
    </w:p>
    <w:p w:rsidR="00FF7DE3" w:rsidRDefault="00FF7DE3" w:rsidP="00FF7DE3">
      <w:r>
        <w:tab/>
        <w:t>10.</w:t>
      </w:r>
      <w:r>
        <w:tab/>
        <w:t xml:space="preserve">In any case in which a person is injured or killed by any act or omission of any other person which is within the description of the offenses listed in section 11 of P.L.1971, c.317, the </w:t>
      </w:r>
      <w:r w:rsidRPr="00F51839">
        <w:rPr>
          <w:rFonts w:ascii="Albertus Extra Bold" w:hAnsi="Albertus Extra Bold"/>
          <w:b/>
        </w:rPr>
        <w:t>[</w:t>
      </w:r>
      <w:r>
        <w:t>agency</w:t>
      </w:r>
      <w:r w:rsidRPr="00F51839">
        <w:rPr>
          <w:rFonts w:ascii="Albertus Extra Bold" w:hAnsi="Albertus Extra Bold"/>
          <w:b/>
        </w:rPr>
        <w:t>]</w:t>
      </w:r>
      <w:r>
        <w:t xml:space="preserve"> </w:t>
      </w:r>
      <w:r>
        <w:rPr>
          <w:u w:val="single"/>
        </w:rPr>
        <w:t>Victims of Crime Compensation Office</w:t>
      </w:r>
      <w:r>
        <w:t xml:space="preserve"> may, upon application, order the payment of compensation in accordance with the provisions of P.L.1971, c.317:</w:t>
      </w:r>
    </w:p>
    <w:p w:rsidR="00FF7DE3" w:rsidRDefault="00FF7DE3" w:rsidP="00FF7DE3">
      <w:r>
        <w:tab/>
        <w:t>a.</w:t>
      </w:r>
      <w:r>
        <w:tab/>
        <w:t>to or on behalf of the victim,</w:t>
      </w:r>
    </w:p>
    <w:p w:rsidR="00FF7DE3" w:rsidRDefault="00FF7DE3" w:rsidP="00FF7DE3">
      <w:r>
        <w:tab/>
        <w:t>b.</w:t>
      </w:r>
      <w:r>
        <w:tab/>
        <w:t>in the case of the personal injury of the victim, where the compensation is for pecuniary loss suffered or expenses incurred by any person responsible for the maintenance of the victim, to that person, or</w:t>
      </w:r>
    </w:p>
    <w:p w:rsidR="00FF7DE3" w:rsidRDefault="00FF7DE3" w:rsidP="00FF7DE3">
      <w:r>
        <w:tab/>
        <w:t>c.</w:t>
      </w:r>
      <w:r>
        <w:tab/>
        <w:t xml:space="preserve">in the case of the death of the victim, to or for the benefit of the dependents of the deceased victim, or any one or more of </w:t>
      </w:r>
      <w:r w:rsidRPr="00723463">
        <w:rPr>
          <w:rFonts w:ascii="Albertus Extra Bold" w:hAnsi="Albertus Extra Bold"/>
          <w:b/>
        </w:rPr>
        <w:t>[</w:t>
      </w:r>
      <w:r>
        <w:t>such</w:t>
      </w:r>
      <w:r w:rsidRPr="00723463">
        <w:rPr>
          <w:rFonts w:ascii="Albertus Extra Bold" w:hAnsi="Albertus Extra Bold"/>
          <w:b/>
        </w:rPr>
        <w:t>]</w:t>
      </w:r>
      <w:r>
        <w:t xml:space="preserve"> </w:t>
      </w:r>
      <w:r>
        <w:rPr>
          <w:u w:val="single"/>
        </w:rPr>
        <w:t>those</w:t>
      </w:r>
      <w:r>
        <w:t xml:space="preserve"> </w:t>
      </w:r>
      <w:r w:rsidRPr="00723463">
        <w:t>dependents</w:t>
      </w:r>
      <w:r>
        <w:t>.</w:t>
      </w:r>
    </w:p>
    <w:p w:rsidR="00FF7DE3" w:rsidRDefault="00FF7DE3" w:rsidP="00FF7DE3">
      <w:r>
        <w:tab/>
        <w:t xml:space="preserve">In determining whether to make an order under this section, the </w:t>
      </w:r>
      <w:r w:rsidRPr="00F51839">
        <w:rPr>
          <w:rFonts w:ascii="Albertus Extra Bold" w:hAnsi="Albertus Extra Bold"/>
          <w:b/>
        </w:rPr>
        <w:t>[</w:t>
      </w:r>
      <w:r>
        <w:t>agency</w:t>
      </w:r>
      <w:r w:rsidRPr="00F51839">
        <w:rPr>
          <w:rFonts w:ascii="Albertus Extra Bold" w:hAnsi="Albertus Extra Bold"/>
          <w:b/>
        </w:rPr>
        <w:t>]</w:t>
      </w:r>
      <w:r>
        <w:t xml:space="preserve"> </w:t>
      </w:r>
      <w:r>
        <w:rPr>
          <w:u w:val="single"/>
        </w:rPr>
        <w:t>office</w:t>
      </w:r>
      <w:r>
        <w:t xml:space="preserve"> may consider any circumstances it determines to be relevant, including provocation, consent</w:t>
      </w:r>
      <w:r>
        <w:rPr>
          <w:u w:val="single"/>
        </w:rPr>
        <w:t>,</w:t>
      </w:r>
      <w:r>
        <w:t xml:space="preserve"> or the behavior of the victim which directly or indirectly contributed to </w:t>
      </w:r>
      <w:r w:rsidRPr="00F51839">
        <w:rPr>
          <w:rFonts w:ascii="Albertus Extra Bold" w:hAnsi="Albertus Extra Bold"/>
          <w:b/>
        </w:rPr>
        <w:t>[</w:t>
      </w:r>
      <w:r>
        <w:t>his</w:t>
      </w:r>
      <w:r w:rsidRPr="00F51839">
        <w:rPr>
          <w:rFonts w:ascii="Albertus Extra Bold" w:hAnsi="Albertus Extra Bold"/>
          <w:b/>
        </w:rPr>
        <w:t>]</w:t>
      </w:r>
      <w:r>
        <w:t xml:space="preserve"> </w:t>
      </w:r>
      <w:r>
        <w:rPr>
          <w:u w:val="single"/>
        </w:rPr>
        <w:t>the victim’s</w:t>
      </w:r>
      <w:r>
        <w:t xml:space="preserve"> injury or death, the prior case history, if any, of the victim and any other relevant matters</w:t>
      </w:r>
      <w:r>
        <w:rPr>
          <w:u w:val="single"/>
        </w:rPr>
        <w:t>; provided, however, there shall be a presumption that the office will order the payment of compensation</w:t>
      </w:r>
      <w:r>
        <w:t>.</w:t>
      </w:r>
    </w:p>
    <w:p w:rsidR="00FF7DE3" w:rsidRDefault="00FF7DE3" w:rsidP="00FF7DE3">
      <w:r>
        <w:tab/>
        <w:t xml:space="preserve">An order may be made under this section whether or not any person is prosecuted or convicted of any offense arising out of </w:t>
      </w:r>
      <w:r w:rsidRPr="00607C97">
        <w:rPr>
          <w:rFonts w:ascii="Albertus Extra Bold" w:hAnsi="Albertus Extra Bold"/>
          <w:b/>
        </w:rPr>
        <w:t>[</w:t>
      </w:r>
      <w:r>
        <w:t>such</w:t>
      </w:r>
      <w:r w:rsidRPr="00607C97">
        <w:rPr>
          <w:rFonts w:ascii="Albertus Extra Bold" w:hAnsi="Albertus Extra Bold"/>
          <w:b/>
        </w:rPr>
        <w:t>]</w:t>
      </w:r>
      <w:r>
        <w:t xml:space="preserve"> </w:t>
      </w:r>
      <w:r>
        <w:rPr>
          <w:u w:val="single"/>
        </w:rPr>
        <w:t>an</w:t>
      </w:r>
      <w:r>
        <w:t xml:space="preserve"> act or omission.  Upon application made by an appropriate prosecuting authority, the agency may suspend proceedings under P.L.1971, c.317 for </w:t>
      </w:r>
      <w:r w:rsidRPr="00F51839">
        <w:rPr>
          <w:rFonts w:ascii="Albertus Extra Bold" w:hAnsi="Albertus Extra Bold"/>
          <w:b/>
        </w:rPr>
        <w:t>[</w:t>
      </w:r>
      <w:r>
        <w:t>such</w:t>
      </w:r>
      <w:r w:rsidRPr="00F51839">
        <w:rPr>
          <w:rFonts w:ascii="Albertus Extra Bold" w:hAnsi="Albertus Extra Bold"/>
          <w:b/>
        </w:rPr>
        <w:t>]</w:t>
      </w:r>
      <w:r>
        <w:t xml:space="preserve"> </w:t>
      </w:r>
      <w:r>
        <w:rPr>
          <w:u w:val="single"/>
        </w:rPr>
        <w:t>any</w:t>
      </w:r>
      <w:r>
        <w:t xml:space="preserve"> period as it deems appropriate on the ground that a prosecution for an offense arising out of </w:t>
      </w:r>
      <w:r w:rsidRPr="00F51839">
        <w:rPr>
          <w:rFonts w:ascii="Albertus Extra Bold" w:hAnsi="Albertus Extra Bold"/>
          <w:b/>
        </w:rPr>
        <w:t>[</w:t>
      </w:r>
      <w:r>
        <w:t>such</w:t>
      </w:r>
      <w:r w:rsidRPr="00F51839">
        <w:rPr>
          <w:rFonts w:ascii="Albertus Extra Bold" w:hAnsi="Albertus Extra Bold"/>
          <w:b/>
        </w:rPr>
        <w:t>]</w:t>
      </w:r>
      <w:r>
        <w:t xml:space="preserve"> </w:t>
      </w:r>
      <w:r>
        <w:rPr>
          <w:u w:val="single"/>
        </w:rPr>
        <w:t>an</w:t>
      </w:r>
      <w:r>
        <w:t xml:space="preserve"> act or omission has been commenced or is imminent.  </w:t>
      </w:r>
    </w:p>
    <w:p w:rsidR="00FF7DE3" w:rsidRDefault="00FF7DE3" w:rsidP="00FF7DE3">
      <w:r>
        <w:tab/>
        <w:t>For the purposes of P.L.1971, c.317, a person shall be deemed to have intended an act or omission notwithstanding that by reason of age, insanity</w:t>
      </w:r>
      <w:r>
        <w:rPr>
          <w:u w:val="single"/>
        </w:rPr>
        <w:t>,</w:t>
      </w:r>
      <w:r>
        <w:t xml:space="preserve"> or otherwise, </w:t>
      </w:r>
      <w:r w:rsidRPr="00521EF0">
        <w:rPr>
          <w:rFonts w:ascii="Albertus Extra Bold" w:hAnsi="Albertus Extra Bold"/>
          <w:b/>
        </w:rPr>
        <w:t>[</w:t>
      </w:r>
      <w:r>
        <w:t>he</w:t>
      </w:r>
      <w:r w:rsidRPr="00521EF0">
        <w:rPr>
          <w:rFonts w:ascii="Albertus Extra Bold" w:hAnsi="Albertus Extra Bold"/>
          <w:b/>
        </w:rPr>
        <w:t>]</w:t>
      </w:r>
      <w:r>
        <w:t xml:space="preserve"> </w:t>
      </w:r>
      <w:r>
        <w:rPr>
          <w:u w:val="single"/>
        </w:rPr>
        <w:t>the person</w:t>
      </w:r>
      <w:r>
        <w:t xml:space="preserve"> was legally incapable of forming a criminal intent.  </w:t>
      </w:r>
    </w:p>
    <w:p w:rsidR="00FF7DE3" w:rsidRDefault="007961C5" w:rsidP="00FF7DE3">
      <w:r>
        <w:t>(</w:t>
      </w:r>
      <w:proofErr w:type="spellStart"/>
      <w:r>
        <w:t>cf</w:t>
      </w:r>
      <w:proofErr w:type="spellEnd"/>
      <w:r>
        <w:t>:</w:t>
      </w:r>
      <w:r w:rsidR="00FF7DE3">
        <w:t xml:space="preserve"> P.L.2007, c.95, s.12) </w:t>
      </w:r>
    </w:p>
    <w:p w:rsidR="00FF7DE3" w:rsidRPr="00D71D68" w:rsidRDefault="00FF7DE3" w:rsidP="00FF7DE3"/>
    <w:p w:rsidR="00630056" w:rsidRDefault="00630056" w:rsidP="00FF7DE3">
      <w:r>
        <w:tab/>
      </w:r>
      <w:r w:rsidR="00FF7DE3">
        <w:t>2.</w:t>
      </w:r>
      <w:r w:rsidR="00FF7DE3">
        <w:tab/>
        <w:t xml:space="preserve">This act shall take effect immediately.  </w:t>
      </w:r>
      <w:r w:rsidR="007961C5">
        <w:br w:type="page"/>
      </w:r>
    </w:p>
    <w:p w:rsidR="00FF7DE3" w:rsidRPr="00AA7880" w:rsidRDefault="00FF7DE3" w:rsidP="00FF7DE3">
      <w:pPr>
        <w:jc w:val="center"/>
      </w:pPr>
      <w:r w:rsidRPr="00D71D68">
        <w:lastRenderedPageBreak/>
        <w:t>STATEMENT</w:t>
      </w:r>
    </w:p>
    <w:p w:rsidR="00FF7DE3" w:rsidRDefault="00FF7DE3" w:rsidP="00FF7DE3"/>
    <w:p w:rsidR="00FF7DE3" w:rsidRDefault="00FF7DE3" w:rsidP="00FF7DE3">
      <w:r>
        <w:tab/>
        <w:t xml:space="preserve">This bill establishes a presumption that the Victims of Crime Compensation Office (VCCO) will order payment of compensation to an eligible victim of crime.  </w:t>
      </w:r>
    </w:p>
    <w:p w:rsidR="00FF7DE3" w:rsidRDefault="00FF7DE3" w:rsidP="00FF7DE3">
      <w:r>
        <w:tab/>
        <w:t>Under current law, the VCCO may order that a payment of compensation be made:</w:t>
      </w:r>
    </w:p>
    <w:p w:rsidR="00FF7DE3" w:rsidRDefault="00FF7DE3" w:rsidP="00FF7DE3">
      <w:r>
        <w:tab/>
        <w:t>1)</w:t>
      </w:r>
      <w:r>
        <w:tab/>
        <w:t xml:space="preserve">to or on  behalf of the victim of the crime; </w:t>
      </w:r>
    </w:p>
    <w:p w:rsidR="00FF7DE3" w:rsidRDefault="00FF7DE3" w:rsidP="00FF7DE3">
      <w:r>
        <w:tab/>
        <w:t>2)</w:t>
      </w:r>
      <w:r>
        <w:tab/>
        <w:t xml:space="preserve">to a person responsible for the victim of crime who has suffered pecuniary loss or incurred expenses in caring for the victim; and </w:t>
      </w:r>
    </w:p>
    <w:p w:rsidR="00FF7DE3" w:rsidRDefault="00FF7DE3" w:rsidP="00FF7DE3">
      <w:r>
        <w:tab/>
        <w:t>3)</w:t>
      </w:r>
      <w:r>
        <w:tab/>
        <w:t xml:space="preserve">in cases of the death of the victim, to the victim’s dependents. </w:t>
      </w:r>
    </w:p>
    <w:p w:rsidR="00FF7DE3" w:rsidRPr="00587C6F" w:rsidRDefault="00FF7DE3" w:rsidP="00FF7DE3">
      <w:r>
        <w:tab/>
        <w:t xml:space="preserve">In determining whether to order compensation, the VCCO is authorized to consider any relevant circumstances, including provocation, consent, or the behavior of the victim which directly or indirectly contributed to </w:t>
      </w:r>
      <w:r w:rsidRPr="00587C6F">
        <w:t xml:space="preserve">the victim’s </w:t>
      </w:r>
      <w:r>
        <w:t xml:space="preserve">injury or death; the victim’s prior case history; and other relevant matters.  This bill establishes that in considering these circumstances, there is to be a </w:t>
      </w:r>
      <w:r w:rsidRPr="00587C6F">
        <w:t xml:space="preserve">presumption that the VCCO will </w:t>
      </w:r>
      <w:r>
        <w:t xml:space="preserve">order a </w:t>
      </w:r>
      <w:r w:rsidRPr="00587C6F">
        <w:t>payment of compensation.</w:t>
      </w:r>
      <w:r>
        <w:t xml:space="preserve">  </w:t>
      </w:r>
    </w:p>
    <w:p w:rsidR="00FF7DE3" w:rsidRDefault="00FF7DE3" w:rsidP="00FF7DE3">
      <w:r>
        <w:tab/>
        <w:t>T</w:t>
      </w:r>
      <w:r>
        <w:rPr>
          <w:sz w:val="23"/>
          <w:szCs w:val="23"/>
        </w:rPr>
        <w:t xml:space="preserve">he bill also makes technical changes to the act to conform with the provisions of Reorganization Plan No. 001-2008, pursuant to which the “Victims of Crime Compensation Agency” was renamed the “Victims of Crime Compensation Office.” </w:t>
      </w:r>
    </w:p>
    <w:p w:rsidR="00FF7DE3" w:rsidRDefault="00FF7DE3">
      <w:r>
        <w:tab/>
        <w:t xml:space="preserve">According to the sponsor, the mission of the VCCO is to compensate as many victims as possible who have been injured or killed as a result of another person committing a crime.  While there may be extenuating circumstances when the victim of a crime should not be compensated, this should be the exception, not the rule.  </w:t>
      </w:r>
    </w:p>
    <w:sectPr w:rsidR="00FF7DE3" w:rsidSect="007961C5">
      <w:headerReference w:type="default" r:id="rId12"/>
      <w:footerReference w:type="default" r:id="rId13"/>
      <w:headerReference w:type="first" r:id="rId14"/>
      <w:footerReference w:type="first" r:id="rId15"/>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1C7" w:rsidRDefault="00A751C7">
      <w:r>
        <w:separator/>
      </w:r>
    </w:p>
  </w:endnote>
  <w:endnote w:type="continuationSeparator" w:id="0">
    <w:p w:rsidR="00A751C7" w:rsidRDefault="00A75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215" w:rsidRPr="00921C91" w:rsidRDefault="008032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3215" w:rsidRPr="00921C91" w:rsidRDefault="00803215">
    <w:pPr>
      <w:pStyle w:val="Footer"/>
      <w:rPr>
        <w:szCs w:val="18"/>
      </w:rPr>
    </w:pPr>
  </w:p>
  <w:p w:rsidR="00803215" w:rsidRPr="00921C91" w:rsidRDefault="008032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3215" w:rsidRDefault="008032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1C7" w:rsidRDefault="00A751C7">
      <w:r>
        <w:separator/>
      </w:r>
    </w:p>
  </w:footnote>
  <w:footnote w:type="continuationSeparator" w:id="0">
    <w:p w:rsidR="00A751C7" w:rsidRDefault="00A75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04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2FB3" w:rsidRDefault="00C52FB3" w:rsidP="00C52FB3">
    <w:pPr>
      <w:pStyle w:val="bpuHeadSpon"/>
    </w:pPr>
    <w:r w:rsidRPr="00C52FB3">
      <w:rPr>
        <w:rStyle w:val="bpuHeadSponChar"/>
      </w:rPr>
      <w:t>S1209</w:t>
    </w:r>
    <w:r>
      <w:t xml:space="preserve"> CRYAN</w:t>
    </w:r>
  </w:p>
  <w:p w:rsidR="00C52FB3" w:rsidRDefault="00C52FB3" w:rsidP="00C52FB3">
    <w:pPr>
      <w:pStyle w:val="bpuHeadSpon"/>
    </w:pPr>
    <w:r>
      <w:fldChar w:fldCharType="begin"/>
    </w:r>
    <w:r>
      <w:instrText xml:space="preserve"> PAGE  \* MERGEFORMAT </w:instrText>
    </w:r>
    <w:r>
      <w:fldChar w:fldCharType="separate"/>
    </w:r>
    <w:r w:rsidR="002904BE">
      <w:rPr>
        <w:noProof/>
      </w:rPr>
      <w:t>3</w:t>
    </w:r>
    <w:r>
      <w:fldChar w:fldCharType="end"/>
    </w:r>
  </w:p>
  <w:p w:rsidR="00C52FB3" w:rsidRDefault="00C52FB3" w:rsidP="00C52F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2FB3" w:rsidRDefault="00C52FB3" w:rsidP="00C52FB3">
    <w:pPr>
      <w:pStyle w:val="bpuHeadSpon"/>
    </w:pPr>
    <w:r w:rsidRPr="00C52FB3">
      <w:rPr>
        <w:rStyle w:val="bpuHeadSponChar"/>
      </w:rPr>
      <w:t>S1209</w:t>
    </w:r>
    <w:r>
      <w:t xml:space="preserve"> CRYAN</w:t>
    </w:r>
  </w:p>
  <w:p w:rsidR="00C52FB3" w:rsidRDefault="00C52FB3" w:rsidP="00C52FB3">
    <w:pPr>
      <w:pStyle w:val="bpuHeadSpon"/>
    </w:pPr>
    <w:r>
      <w:fldChar w:fldCharType="begin"/>
    </w:r>
    <w:r>
      <w:instrText xml:space="preserve"> PAGE  \* MERGEFORMAT </w:instrText>
    </w:r>
    <w:r>
      <w:fldChar w:fldCharType="separate"/>
    </w:r>
    <w:r w:rsidR="002904BE">
      <w:rPr>
        <w:noProof/>
      </w:rPr>
      <w:t>2</w:t>
    </w:r>
    <w:r>
      <w:fldChar w:fldCharType="end"/>
    </w:r>
  </w:p>
  <w:p w:rsidR="00C52FB3" w:rsidRDefault="00C52FB3" w:rsidP="00C52F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1C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F3C"/>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4BE"/>
    <w:rsid w:val="002A1029"/>
    <w:rsid w:val="002A3A1A"/>
    <w:rsid w:val="002A4692"/>
    <w:rsid w:val="002A51BA"/>
    <w:rsid w:val="002B2E26"/>
    <w:rsid w:val="002B3FE6"/>
    <w:rsid w:val="002C2D81"/>
    <w:rsid w:val="002C461E"/>
    <w:rsid w:val="002C6CEC"/>
    <w:rsid w:val="002E09CE"/>
    <w:rsid w:val="002E69D1"/>
    <w:rsid w:val="002F3BA6"/>
    <w:rsid w:val="00314CA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F58"/>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05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9A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1C5"/>
    <w:rsid w:val="007A2F73"/>
    <w:rsid w:val="007A3061"/>
    <w:rsid w:val="007A5A0B"/>
    <w:rsid w:val="007C0E14"/>
    <w:rsid w:val="007C7DE4"/>
    <w:rsid w:val="007D40CB"/>
    <w:rsid w:val="007D5796"/>
    <w:rsid w:val="007D59C0"/>
    <w:rsid w:val="007D7D9C"/>
    <w:rsid w:val="007F485D"/>
    <w:rsid w:val="007F6050"/>
    <w:rsid w:val="0080321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1C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FB3"/>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E1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00FBC7-DEC5-4BB5-A267-7464C2CAF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2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654</Words>
  <Characters>3275</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S1209</vt:lpstr>
    </vt:vector>
  </TitlesOfParts>
  <Manager>R230</Manager>
  <Company>NJ Office of Legislative Services</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S1209</dc:title>
  <dc:subject/>
  <dc:creator>Senator  CRYAN</dc:creator>
  <cp:keywords>S1209|3|LP |160|0|160|N|10|</cp:keywords>
  <dc:description>INTRODUCED FEBRUARY 3, 2020</dc:description>
  <cp:lastModifiedBy>Bektas, Brenda</cp:lastModifiedBy>
  <cp:revision>2</cp:revision>
  <cp:lastPrinted>2005-10-12T19:02:00Z</cp:lastPrinted>
  <dcterms:created xsi:type="dcterms:W3CDTF">2020-02-04T14:50:00Z</dcterms:created>
  <dcterms:modified xsi:type="dcterms:W3CDTF">2020-02-04T14:50:00Z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