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2CF9" w:rsidRDefault="00E82CF9" w:rsidP="00E82CF9">
      <w:pPr>
        <w:pStyle w:val="bpuBill"/>
      </w:pPr>
      <w:bookmarkStart w:id="0" w:name="bpuFrontPg"/>
      <w:bookmarkStart w:id="1" w:name="_GoBack"/>
      <w:bookmarkEnd w:id="0"/>
      <w:bookmarkEnd w:id="1"/>
      <w:r>
        <w:t xml:space="preserve">SENATE, No. 1265 </w:t>
      </w:r>
    </w:p>
    <w:p w:rsidR="00E82CF9" w:rsidRPr="009D38FF" w:rsidRDefault="00E82CF9" w:rsidP="00E82C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050972" r:id="rId7"/>
        </w:object>
      </w:r>
    </w:p>
    <w:p w:rsidR="00E82CF9" w:rsidRDefault="00E82CF9" w:rsidP="00E82CF9">
      <w:pPr>
        <w:pStyle w:val="bpuState"/>
      </w:pPr>
      <w:r>
        <w:t>STATE OF NEW JERSEY</w:t>
      </w:r>
    </w:p>
    <w:p w:rsidR="00E82CF9" w:rsidRDefault="00E82CF9" w:rsidP="00E82CF9">
      <w:pPr>
        <w:pStyle w:val="bpuLegislature"/>
      </w:pPr>
      <w:r>
        <w:t>219th LEGISLATURE</w:t>
      </w:r>
    </w:p>
    <w:p w:rsidR="00E82CF9" w:rsidRDefault="00E82CF9" w:rsidP="00E82CF9">
      <w:pPr>
        <w:pStyle w:val="bpuWpGraphic"/>
      </w:pPr>
      <w:r>
        <w:object w:dxaOrig="8985" w:dyaOrig="255">
          <v:shape id="_x0000_i1026" type="#_x0000_t75" style="width:6in;height:11.9pt" o:ole="">
            <v:imagedata r:id="rId6" o:title=""/>
          </v:shape>
          <o:OLEObject Type="Embed" ProgID="WPWin6.1" ShapeID="_x0000_i1026" DrawAspect="Content" ObjectID="_1700050973" r:id="rId8"/>
        </w:object>
      </w:r>
      <w:r>
        <w:t xml:space="preserve">  </w:t>
      </w:r>
    </w:p>
    <w:p w:rsidR="00E82CF9" w:rsidRDefault="00E82CF9" w:rsidP="00E82CF9">
      <w:pPr>
        <w:pStyle w:val="bpuIntro"/>
      </w:pPr>
      <w:r>
        <w:t>INTRODUCED FEBRUARY 3, 2020</w:t>
      </w:r>
    </w:p>
    <w:p w:rsidR="00E82CF9" w:rsidRDefault="00E82CF9" w:rsidP="00E82CF9">
      <w:pPr>
        <w:pStyle w:val="bpuIntro"/>
      </w:pPr>
    </w:p>
    <w:p w:rsidR="00E82CF9" w:rsidRDefault="00E82CF9" w:rsidP="00E82CF9">
      <w:pPr>
        <w:pStyle w:val="bpuIntro"/>
        <w:sectPr w:rsidR="00E82CF9" w:rsidSect="0066769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82CF9" w:rsidRDefault="00E82CF9" w:rsidP="00E82CF9">
      <w:pPr>
        <w:pStyle w:val="bpuIntro"/>
      </w:pPr>
    </w:p>
    <w:p w:rsidR="00E82CF9" w:rsidRDefault="00E82CF9" w:rsidP="00E82CF9">
      <w:pPr>
        <w:pStyle w:val="bpuSponsor"/>
      </w:pPr>
      <w:r>
        <w:t>Sponsored by:</w:t>
      </w:r>
    </w:p>
    <w:p w:rsidR="00E82CF9" w:rsidRDefault="00E82CF9" w:rsidP="00E82CF9">
      <w:pPr>
        <w:pStyle w:val="bpuSponsor"/>
      </w:pPr>
      <w:r>
        <w:t>Senator  JAMES BEACH</w:t>
      </w:r>
    </w:p>
    <w:p w:rsidR="00E82CF9" w:rsidRDefault="00E82CF9" w:rsidP="00E82CF9">
      <w:pPr>
        <w:pStyle w:val="bpuSponsor"/>
      </w:pPr>
      <w:r>
        <w:t>District 6 (Burlington and Camden)</w:t>
      </w:r>
    </w:p>
    <w:p w:rsidR="00E82CF9" w:rsidRDefault="006D2CEB" w:rsidP="006D2CEB">
      <w:pPr>
        <w:pStyle w:val="bpuSponsor"/>
      </w:pPr>
      <w:r>
        <w:t>Senator  SHIRLEY K. TURNER</w:t>
      </w:r>
    </w:p>
    <w:p w:rsidR="006D2CEB" w:rsidRDefault="006D2CEB" w:rsidP="006D2CEB">
      <w:pPr>
        <w:pStyle w:val="bpuSponsor"/>
      </w:pPr>
      <w:r>
        <w:t>District 15 (Hunterdon and Mercer)</w:t>
      </w:r>
    </w:p>
    <w:p w:rsidR="006D2CEB" w:rsidRPr="006D2CEB" w:rsidRDefault="006D2CEB" w:rsidP="006D2CEB">
      <w:pPr>
        <w:pStyle w:val="bpuSponsor"/>
      </w:pPr>
    </w:p>
    <w:p w:rsidR="00E82CF9" w:rsidRDefault="00667695" w:rsidP="00667695">
      <w:pPr>
        <w:pStyle w:val="bpuSponsor"/>
      </w:pPr>
      <w:r>
        <w:t>Co-Sponsored by:</w:t>
      </w:r>
    </w:p>
    <w:p w:rsidR="00667695" w:rsidRDefault="00667695" w:rsidP="00667695">
      <w:pPr>
        <w:pStyle w:val="bpuSponsor"/>
      </w:pPr>
      <w:r w:rsidRPr="00667695">
        <w:t xml:space="preserve">Senators </w:t>
      </w:r>
      <w:proofErr w:type="spellStart"/>
      <w:r w:rsidRPr="00667695">
        <w:t>Pou</w:t>
      </w:r>
      <w:proofErr w:type="spellEnd"/>
      <w:r w:rsidRPr="00667695">
        <w:t xml:space="preserve"> and Scutari</w:t>
      </w:r>
    </w:p>
    <w:p w:rsidR="00667695" w:rsidRDefault="00667695" w:rsidP="00667695"/>
    <w:p w:rsidR="00667695" w:rsidRPr="00667695" w:rsidRDefault="00667695" w:rsidP="00667695"/>
    <w:p w:rsidR="00E82CF9" w:rsidRDefault="00E82CF9" w:rsidP="00E82CF9">
      <w:pPr>
        <w:pStyle w:val="bpuSponsor"/>
      </w:pPr>
    </w:p>
    <w:p w:rsidR="00E82CF9" w:rsidRDefault="00E82CF9" w:rsidP="00E82CF9">
      <w:pPr>
        <w:pStyle w:val="bpuSponsor"/>
      </w:pPr>
    </w:p>
    <w:p w:rsidR="00E82CF9" w:rsidRDefault="00E82CF9" w:rsidP="00E82CF9">
      <w:pPr>
        <w:pStyle w:val="bpuSponsor"/>
      </w:pPr>
      <w:r>
        <w:t>SYNOPSIS</w:t>
      </w:r>
    </w:p>
    <w:p w:rsidR="00E82CF9" w:rsidRDefault="00E82CF9" w:rsidP="00E82CF9">
      <w:pPr>
        <w:pStyle w:val="bpuNormText"/>
      </w:pPr>
      <w:r>
        <w:tab/>
        <w:t xml:space="preserve">Includes crime of creating false public alarms as form of bias intimidation. </w:t>
      </w:r>
    </w:p>
    <w:p w:rsidR="00E82CF9" w:rsidRDefault="00E82CF9" w:rsidP="00E82CF9">
      <w:pPr>
        <w:pStyle w:val="bpuNormText"/>
      </w:pPr>
    </w:p>
    <w:p w:rsidR="00E82CF9" w:rsidRDefault="00E82CF9" w:rsidP="00E82CF9">
      <w:pPr>
        <w:pStyle w:val="bpuSponsor"/>
      </w:pPr>
      <w:r>
        <w:t xml:space="preserve">CURRENT VERSION OF TEXT </w:t>
      </w:r>
    </w:p>
    <w:p w:rsidR="00E82CF9" w:rsidRDefault="00E82CF9" w:rsidP="00E82CF9">
      <w:pPr>
        <w:pStyle w:val="bpuNormText"/>
      </w:pPr>
      <w:r>
        <w:tab/>
        <w:t>As introduced.</w:t>
      </w:r>
    </w:p>
    <w:p w:rsidR="00E82CF9" w:rsidRDefault="00E82CF9" w:rsidP="00E82CF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82CF9" w:rsidRDefault="00E82CF9" w:rsidP="008916EC">
      <w:pPr>
        <w:pStyle w:val="FronterPage"/>
        <w:tabs>
          <w:tab w:val="clear" w:pos="720"/>
          <w:tab w:val="clear" w:pos="1440"/>
          <w:tab w:val="clear" w:pos="2160"/>
          <w:tab w:val="clear" w:pos="2880"/>
          <w:tab w:val="clear" w:pos="3600"/>
          <w:tab w:val="clear" w:pos="4320"/>
          <w:tab w:val="clear" w:pos="5040"/>
        </w:tabs>
        <w:sectPr w:rsidR="00E82CF9" w:rsidSect="00E82CF9">
          <w:type w:val="continuous"/>
          <w:pgSz w:w="12240" w:h="20160" w:code="5"/>
          <w:pgMar w:top="1440" w:right="2275" w:bottom="1440" w:left="2275" w:header="72" w:footer="720" w:gutter="0"/>
          <w:pgNumType w:start="1"/>
          <w:cols w:space="720"/>
          <w:docGrid w:linePitch="360"/>
        </w:sectPr>
      </w:pPr>
    </w:p>
    <w:p w:rsidR="00A76CE2" w:rsidRDefault="00A76CE2" w:rsidP="00A76CE2">
      <w:pPr>
        <w:pStyle w:val="HangingAnAct"/>
        <w:rPr>
          <w:rStyle w:val="HangingAnActChar"/>
        </w:rPr>
      </w:pPr>
      <w:r w:rsidRPr="00A76CE2">
        <w:rPr>
          <w:rStyle w:val="BillHead"/>
        </w:rPr>
        <w:lastRenderedPageBreak/>
        <w:t>An Act</w:t>
      </w:r>
      <w:r w:rsidRPr="006B7FA7">
        <w:rPr>
          <w:rStyle w:val="HangingAnActChar"/>
        </w:rPr>
        <w:t xml:space="preserve"> </w:t>
      </w:r>
      <w:r>
        <w:rPr>
          <w:rStyle w:val="HangingAnActChar"/>
        </w:rPr>
        <w:t xml:space="preserve">concerning false public alarms and bias intimidation and amending N.J.S.2C:16-1.  </w:t>
      </w:r>
    </w:p>
    <w:p w:rsidR="00A76CE2" w:rsidRPr="00D71D68" w:rsidRDefault="00A76CE2" w:rsidP="00A76CE2"/>
    <w:p w:rsidR="00A76CE2" w:rsidRDefault="00A76CE2" w:rsidP="00A76CE2">
      <w:pPr>
        <w:rPr>
          <w:rStyle w:val="BillLanguage"/>
          <w:i w:val="0"/>
        </w:rPr>
      </w:pPr>
      <w:r>
        <w:tab/>
      </w:r>
      <w:r>
        <w:rPr>
          <w:rStyle w:val="BillHeading2"/>
        </w:rPr>
        <w:t xml:space="preserve">Be It Enacted </w:t>
      </w:r>
      <w:r>
        <w:rPr>
          <w:rStyle w:val="BillLanguage"/>
        </w:rPr>
        <w:t>by the Senate and General Assembly of the State of New Jersey:</w:t>
      </w:r>
    </w:p>
    <w:p w:rsidR="00A76CE2" w:rsidRDefault="00A76CE2" w:rsidP="00A76CE2">
      <w:pPr>
        <w:rPr>
          <w:rStyle w:val="BillLanguage"/>
          <w:i w:val="0"/>
        </w:rPr>
      </w:pPr>
    </w:p>
    <w:p w:rsidR="00A76CE2" w:rsidRDefault="00A76CE2" w:rsidP="00A76CE2">
      <w:r>
        <w:rPr>
          <w:rStyle w:val="BillLanguage"/>
        </w:rPr>
        <w:tab/>
      </w:r>
      <w:r w:rsidRPr="005713A8">
        <w:rPr>
          <w:rStyle w:val="BillLanguage"/>
          <w:i w:val="0"/>
        </w:rPr>
        <w:t>1.</w:t>
      </w:r>
      <w:r>
        <w:rPr>
          <w:rStyle w:val="BillLanguage"/>
        </w:rPr>
        <w:tab/>
      </w:r>
      <w:r w:rsidRPr="007C259A">
        <w:t>N.J.S.2C:16-1 is amended to read as follows:</w:t>
      </w:r>
      <w:r>
        <w:t xml:space="preserve"> </w:t>
      </w:r>
    </w:p>
    <w:p w:rsidR="00A76CE2" w:rsidRDefault="00A76CE2" w:rsidP="00A76CE2">
      <w:r>
        <w:tab/>
      </w:r>
      <w:r w:rsidRPr="00976C33">
        <w:t>2C:16-1.</w:t>
      </w:r>
      <w:r w:rsidR="00EB351C">
        <w:tab/>
      </w:r>
      <w:r w:rsidRPr="00976C33">
        <w:t>Bias Intimidation.</w:t>
      </w:r>
    </w:p>
    <w:p w:rsidR="00A76CE2" w:rsidRDefault="00A76CE2" w:rsidP="00A76CE2">
      <w:r>
        <w:tab/>
        <w:t>a.</w:t>
      </w:r>
      <w:r>
        <w:tab/>
        <w:t xml:space="preserve">Bias Intimidation.  A person is guilty of the crime of bias intimidation if he commits, attempts to commit, conspires with another to commit, or threatens the immediate commission of an offense specified in chapters 11 through 18 of Title 2C of the New Jersey Statutes; </w:t>
      </w:r>
      <w:r>
        <w:rPr>
          <w:u w:val="single"/>
        </w:rPr>
        <w:t>N.J.S.2C:33-3,</w:t>
      </w:r>
      <w:r w:rsidRPr="002E4DBD">
        <w:t xml:space="preserve"> </w:t>
      </w:r>
      <w:r>
        <w:t>N.J.S.2C:33-4; N.J.S.2C:39-3; N.J.S.2C:39-4 or N.J.S.2C:39-5,</w:t>
      </w:r>
    </w:p>
    <w:p w:rsidR="00A76CE2" w:rsidRDefault="00A76CE2" w:rsidP="00A76CE2">
      <w:r>
        <w:tab/>
        <w:t>(1)</w:t>
      </w:r>
      <w:r>
        <w:tab/>
        <w:t>with a purpose to intimidate an individual or group of individuals because of race, color, religion, gender, disability, sexual orientation, gender identity or expression, national origin, or ethnicity; or</w:t>
      </w:r>
    </w:p>
    <w:p w:rsidR="00A76CE2" w:rsidRDefault="00A76CE2" w:rsidP="00A76CE2">
      <w:r>
        <w:tab/>
        <w:t>(2)</w:t>
      </w:r>
      <w:r>
        <w:tab/>
        <w:t>knowing that the conduct constituting the offense would cause an individual or group of individuals to be intimidated because of race, color, religion, gender, disability, sexual orientation, gender identity or expression, national origin, or ethnicity; or</w:t>
      </w:r>
    </w:p>
    <w:p w:rsidR="00A76CE2" w:rsidRDefault="00A76CE2" w:rsidP="00A76CE2">
      <w:r>
        <w:tab/>
        <w:t>(3)</w:t>
      </w:r>
      <w:r>
        <w:tab/>
        <w:t>under circumstances that caused any victim of the underlying offense to be intimidated and the victim, considering the manner in which the offense was committed, reasonably believed either that (a) the offense was committed with a purpose to intimidate the victim or any person or entity in whose welfare the victim is interested because of race, color, religion, gender, disability, sexual orientation, gender identity or expression, national origin, or ethnicity, or (b) the victim or the victim's property was selected to be the target of the offense because of the victim's race, color, religion, gender, disability, sexual orientation, gender identity or expression, national origin, or ethnicity.</w:t>
      </w:r>
    </w:p>
    <w:p w:rsidR="00A76CE2" w:rsidRDefault="00A76CE2" w:rsidP="00A76CE2">
      <w:r>
        <w:tab/>
        <w:t>b.</w:t>
      </w:r>
      <w:r>
        <w:tab/>
        <w:t>Permissive inference concerning selection of targeted person or property.  Proof that the target of the underlying offense was selected by the defendant, or by another acting in concert with the defendant, because of race, color, religion, gender, disability, sexual orientation, gender identity or expression, national origin, or ethnicity shall give rise to a permissive inference by the trier of fact that the defendant acted with a purpose to intimidate an individual or group of individuals because of race, color, religion, gender, disability, sexual orientation, gender identity or expression, national origin, or ethnicity.</w:t>
      </w:r>
    </w:p>
    <w:p w:rsidR="00A76CE2" w:rsidRDefault="00A76CE2" w:rsidP="00A76CE2">
      <w:r>
        <w:tab/>
        <w:t>c.</w:t>
      </w:r>
      <w:r>
        <w:tab/>
        <w:t>Grading.  Bias intimidation is a crime of the fourth degree if the underlying offense referred to in subsection a. is a disorderly persons offense or petty disorderly persons offense.  Otherwise, bias intimidation is a crime one degree higher than the most serious underlying crime referred to in subsection a., except that where the underlying crime is a crime of the first degree, bias intimidation is a first-degree crime and the defendant upon conviction thereof may, notwithstanding the provisions of paragraph (1) of subsection a. of N.J.S.2C:43-6, be sentenced to an ordinary term of imprisonment between 15 years and 30 years, with a presumptive term of 20 years.</w:t>
      </w:r>
    </w:p>
    <w:p w:rsidR="00A76CE2" w:rsidRDefault="00A76CE2" w:rsidP="00A76CE2">
      <w:r>
        <w:tab/>
        <w:t>d.</w:t>
      </w:r>
      <w:r>
        <w:tab/>
        <w:t>Gender exemption in sexual offense prosecutions.  It shall not be a violation of subsection a. if the underlying criminal offense is a violation of chapter 14 of Title 2C of the New Jersey Statutes and the circumstance specified in paragraph (1), (2) or (3) of subsection a. of this section is based solely upon the gender of the victim.</w:t>
      </w:r>
    </w:p>
    <w:p w:rsidR="00A76CE2" w:rsidRDefault="00A76CE2" w:rsidP="00A76CE2">
      <w:r>
        <w:tab/>
        <w:t>e.</w:t>
      </w:r>
      <w:r>
        <w:tab/>
        <w:t>Merger.  Notwithstanding the provisions of N.J.S.2C:1-8 or any other provision of law, a conviction for bias intimidation shall not merge with a conviction of any of the underlying offenses referred to in subsection a. of this section, nor shall any conviction for such underlying offense merge with a conviction for bias intimidation.  The court shall impose separate sentences upon a conviction for bias intimidation and a conviction of any underlying offense.</w:t>
      </w:r>
    </w:p>
    <w:p w:rsidR="00A76CE2" w:rsidRDefault="00A76CE2" w:rsidP="00A76CE2">
      <w:r>
        <w:tab/>
        <w:t>f.</w:t>
      </w:r>
      <w:r>
        <w:tab/>
        <w:t>Additional Penalties.  In addition to any fine imposed pursuant to N.J.S.2C:43-3 or any term of imprisonment imposed pursuant to N.J.S.2C:43-6, a court may order a person convicted of bias intimidation to one or more of the following:</w:t>
      </w:r>
    </w:p>
    <w:p w:rsidR="00A76CE2" w:rsidRDefault="00A76CE2" w:rsidP="00A76CE2">
      <w:r>
        <w:tab/>
        <w:t>(1)</w:t>
      </w:r>
      <w:r>
        <w:tab/>
        <w:t xml:space="preserve">complete a class or program on sensitivity to diverse communities, or other similar training in the area of civil rights; </w:t>
      </w:r>
    </w:p>
    <w:p w:rsidR="00A76CE2" w:rsidRDefault="00A76CE2" w:rsidP="00A76CE2">
      <w:r>
        <w:tab/>
        <w:t>(2)</w:t>
      </w:r>
      <w:r>
        <w:tab/>
        <w:t xml:space="preserve">complete a counseling program intended to reduce the tendency toward violent and antisocial behavior; and </w:t>
      </w:r>
    </w:p>
    <w:p w:rsidR="00A76CE2" w:rsidRDefault="00A76CE2" w:rsidP="00A76CE2">
      <w:r>
        <w:tab/>
        <w:t>(3)</w:t>
      </w:r>
      <w:r>
        <w:tab/>
        <w:t xml:space="preserve">make payments or other compensation to a community-based program or local agency that provides services to victims of bias intimidation.  </w:t>
      </w:r>
    </w:p>
    <w:p w:rsidR="00A76CE2" w:rsidRDefault="00A76CE2" w:rsidP="00A76CE2">
      <w:r>
        <w:tab/>
        <w:t>g.</w:t>
      </w:r>
      <w:r>
        <w:tab/>
        <w:t>As used in this section "gender identity or expression" means having or being perceived as having a gender related identity or expression whether or not stereotypically associated with a person's assigned sex at birth.</w:t>
      </w:r>
    </w:p>
    <w:p w:rsidR="00A76CE2" w:rsidRPr="007C259A" w:rsidRDefault="00A76CE2" w:rsidP="00A76CE2">
      <w:r>
        <w:tab/>
        <w:t>h.</w:t>
      </w:r>
      <w:r>
        <w:tab/>
        <w:t xml:space="preserve">It shall not be a defense to a prosecution for a crime under this section that the defendant was mistaken as to the race, color, </w:t>
      </w:r>
      <w:r w:rsidRPr="007C259A">
        <w:t>religion, gender, disability, sexual orientation, gender identity or expression, national origin, or ethnicity of the victim.</w:t>
      </w:r>
    </w:p>
    <w:p w:rsidR="00A76CE2" w:rsidRDefault="00A76CE2" w:rsidP="00A76CE2">
      <w:r w:rsidRPr="007C259A">
        <w:t>(</w:t>
      </w:r>
      <w:proofErr w:type="spellStart"/>
      <w:r w:rsidRPr="007C259A">
        <w:t>cf</w:t>
      </w:r>
      <w:proofErr w:type="spellEnd"/>
      <w:r w:rsidRPr="007C259A">
        <w:t>: P.L.2007, c.303, s.1)</w:t>
      </w:r>
    </w:p>
    <w:p w:rsidR="00A76CE2" w:rsidRDefault="00A76CE2" w:rsidP="00A76CE2"/>
    <w:p w:rsidR="00A76CE2" w:rsidRDefault="00EB351C" w:rsidP="00A76CE2">
      <w:r>
        <w:tab/>
      </w:r>
      <w:r w:rsidR="00A76CE2">
        <w:t>2.</w:t>
      </w:r>
      <w:r w:rsidR="00A76CE2">
        <w:tab/>
        <w:t>This act shall take effect immediately.</w:t>
      </w:r>
    </w:p>
    <w:p w:rsidR="00A76CE2" w:rsidRDefault="00A76CE2" w:rsidP="00A76CE2">
      <w:pPr>
        <w:jc w:val="center"/>
      </w:pPr>
      <w:r w:rsidRPr="00D71D68">
        <w:t>STATEMENT</w:t>
      </w:r>
    </w:p>
    <w:p w:rsidR="00A76CE2" w:rsidRDefault="00A76CE2" w:rsidP="00A76CE2">
      <w:pPr>
        <w:jc w:val="center"/>
      </w:pPr>
    </w:p>
    <w:p w:rsidR="00A76CE2" w:rsidRPr="00711EDE" w:rsidRDefault="00A76CE2" w:rsidP="00A76CE2">
      <w:r>
        <w:tab/>
      </w:r>
      <w:r w:rsidRPr="00711EDE">
        <w:t xml:space="preserve">This bill expands the list of crimes that are a form of bias intimidation to include the crime of creating a false public alarm.  Pursuant to N.J.S.2C:16-1, a person is guilty of the crime of bias intimidation if he commits, attempts to commit, conspires with another to commit, or threatens the immediate commission of certain offenses found in chapters 11 through 18 of Title 2C and N.J.S.2C:33-4; N.J.S.2C:39-3; N.J.S.2C:39-4 or N.J.S.2C:39-5 with, among other things, a purpose to intimidate an individual or group of individuals because of race, color, religion, gender, disability, sexual orientation, gender identity or expression, national origin, or ethnicity.  The offenses found in chapters 11 through 18 of Title 2C include, but are not limited to, terroristic threats, assault, murder, and arson.  The crimes specifically listed are N.J.S.2C:33-4 harassment; N.J.S.2C:39-3 prohibited weapons and devices; N.J.S.2C:39-4 possession of weapons for unlawful purpose; and N.J.S.2C:39-5 unlawful possession of weapons. </w:t>
      </w:r>
    </w:p>
    <w:p w:rsidR="00A76CE2" w:rsidRPr="00711EDE" w:rsidRDefault="00A76CE2" w:rsidP="00A76CE2">
      <w:r w:rsidRPr="00711EDE">
        <w:tab/>
        <w:t>Bias intimidation is a crime of the fourth degree if the underlying offense is a disorderly persons offense or petty disorderly persons offense.  A crime of the fourth degree is punishable by up to 18 months imprisonment, a fine up to $10,000, or both.  Otherwise, bias intimidation is a crime graded one degree higher than the most serious underlying crime, except in cases in which the underlying crime is of the first degree, bias intimidation is a first-degree crime and the defendant upon conviction may, notwithstanding the provisions of paragraph (1) of subsection a. of N.J.S.2C:43-6, be sentenced to an ordinary term of imprisonment between 15 years and 30 years, with a presumptive term of 20 years.</w:t>
      </w:r>
    </w:p>
    <w:p w:rsidR="00A76CE2" w:rsidRDefault="00A76CE2" w:rsidP="00A76CE2">
      <w:r w:rsidRPr="00711EDE">
        <w:tab/>
        <w:t>This bill would expand the list of underlying offenses for bias intimidation to include creating a false public alarm (N.J.S.2C:33-3).  Under this offense, a person is guilty of a third degree crime if he initiates or circulates a report or warning of an impending fire, explosion, crime, catastrophe, emergency or any other incident knowing that the report or warning is false or baseless and that is likely to cause an evacuation of a building, place of assembly, or facility of public transport, or to cause public inconvenience or alarm.  A crime of the third degree carries a penalty of three to five years imprisonment, a fine of up to $15,000, or both.</w:t>
      </w:r>
      <w:r w:rsidRPr="00711EDE">
        <w:rPr>
          <w:spacing w:val="0"/>
        </w:rPr>
        <w:t xml:space="preserve">  </w:t>
      </w:r>
      <w:r w:rsidRPr="00711EDE">
        <w:t>Depending upon the circumstances, the crime of creating a false public alarm can range from a fourth degree to a first degree crime</w:t>
      </w:r>
      <w:r>
        <w:t>.</w:t>
      </w:r>
    </w:p>
    <w:sectPr w:rsidR="00A76CE2" w:rsidSect="00EB351C">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1DB7" w:rsidRDefault="00C41DB7">
      <w:r>
        <w:separator/>
      </w:r>
    </w:p>
  </w:endnote>
  <w:endnote w:type="continuationSeparator" w:id="0">
    <w:p w:rsidR="00C41DB7" w:rsidRDefault="00C41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351C" w:rsidRDefault="00667695" w:rsidP="00667695">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E1F" w:rsidRPr="00921C91" w:rsidRDefault="008F0E1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F0E1F" w:rsidRPr="00921C91" w:rsidRDefault="008F0E1F">
    <w:pPr>
      <w:pStyle w:val="Footer"/>
      <w:rPr>
        <w:szCs w:val="18"/>
      </w:rPr>
    </w:pPr>
  </w:p>
  <w:p w:rsidR="008F0E1F" w:rsidRPr="00921C91" w:rsidRDefault="008F0E1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F0E1F" w:rsidRDefault="008F0E1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1DB7" w:rsidRDefault="00C41DB7">
      <w:r>
        <w:separator/>
      </w:r>
    </w:p>
  </w:footnote>
  <w:footnote w:type="continuationSeparator" w:id="0">
    <w:p w:rsidR="00C41DB7" w:rsidRDefault="00C41D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35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82CF9" w:rsidRDefault="00E82CF9" w:rsidP="00E82CF9">
    <w:pPr>
      <w:pStyle w:val="bpuHeadSpon"/>
    </w:pPr>
    <w:r w:rsidRPr="00E82CF9">
      <w:rPr>
        <w:rStyle w:val="bpuHeadSponChar"/>
      </w:rPr>
      <w:t>S1265</w:t>
    </w:r>
    <w:r>
      <w:t xml:space="preserve"> BEACH</w:t>
    </w:r>
    <w:r w:rsidR="006D2CEB">
      <w:t>, TURNER</w:t>
    </w:r>
  </w:p>
  <w:p w:rsidR="00E82CF9" w:rsidRDefault="00E82CF9" w:rsidP="00E82CF9">
    <w:pPr>
      <w:pStyle w:val="bpuHeadSpon"/>
    </w:pPr>
    <w:r>
      <w:fldChar w:fldCharType="begin"/>
    </w:r>
    <w:r>
      <w:instrText xml:space="preserve"> PAGE  \* MERGEFORMAT </w:instrText>
    </w:r>
    <w:r>
      <w:fldChar w:fldCharType="separate"/>
    </w:r>
    <w:r w:rsidR="00D6351D">
      <w:rPr>
        <w:noProof/>
      </w:rPr>
      <w:t>4</w:t>
    </w:r>
    <w:r>
      <w:fldChar w:fldCharType="end"/>
    </w:r>
  </w:p>
  <w:p w:rsidR="00E82CF9" w:rsidRDefault="00E82CF9" w:rsidP="00E82C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82CF9" w:rsidRDefault="00E82CF9" w:rsidP="00E82CF9">
    <w:pPr>
      <w:pStyle w:val="bpuHeadSpon"/>
    </w:pPr>
    <w:r w:rsidRPr="00E82CF9">
      <w:rPr>
        <w:rStyle w:val="bpuHeadSponChar"/>
      </w:rPr>
      <w:t>S1265</w:t>
    </w:r>
    <w:r>
      <w:t xml:space="preserve"> BEACH</w:t>
    </w:r>
    <w:r w:rsidR="006D2CEB">
      <w:t>, TURNER</w:t>
    </w:r>
  </w:p>
  <w:p w:rsidR="00E82CF9" w:rsidRDefault="00E82CF9" w:rsidP="00E82CF9">
    <w:pPr>
      <w:pStyle w:val="bpuHeadSpon"/>
    </w:pPr>
    <w:r>
      <w:fldChar w:fldCharType="begin"/>
    </w:r>
    <w:r>
      <w:instrText xml:space="preserve"> PAGE  \* MERGEFORMAT </w:instrText>
    </w:r>
    <w:r>
      <w:fldChar w:fldCharType="separate"/>
    </w:r>
    <w:r w:rsidR="00D6351D">
      <w:rPr>
        <w:noProof/>
      </w:rPr>
      <w:t>2</w:t>
    </w:r>
    <w:r>
      <w:fldChar w:fldCharType="end"/>
    </w:r>
  </w:p>
  <w:p w:rsidR="00E82CF9" w:rsidRDefault="00E82CF9" w:rsidP="00E82C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DB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7F82"/>
    <w:rsid w:val="000C054C"/>
    <w:rsid w:val="000C12C2"/>
    <w:rsid w:val="000D11AF"/>
    <w:rsid w:val="000D6255"/>
    <w:rsid w:val="000D6262"/>
    <w:rsid w:val="000D7B4A"/>
    <w:rsid w:val="000E4006"/>
    <w:rsid w:val="000F3DA2"/>
    <w:rsid w:val="000F5FDE"/>
    <w:rsid w:val="000F7466"/>
    <w:rsid w:val="0013000E"/>
    <w:rsid w:val="00133F81"/>
    <w:rsid w:val="00135943"/>
    <w:rsid w:val="0015735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830"/>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4CE1"/>
    <w:rsid w:val="00577A15"/>
    <w:rsid w:val="00580533"/>
    <w:rsid w:val="0059131D"/>
    <w:rsid w:val="005B3F92"/>
    <w:rsid w:val="005B479C"/>
    <w:rsid w:val="005B561E"/>
    <w:rsid w:val="005C07E4"/>
    <w:rsid w:val="005C2124"/>
    <w:rsid w:val="005C336F"/>
    <w:rsid w:val="005C7CF8"/>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695"/>
    <w:rsid w:val="00667A5C"/>
    <w:rsid w:val="00677316"/>
    <w:rsid w:val="00686AEB"/>
    <w:rsid w:val="006B7897"/>
    <w:rsid w:val="006B7FA7"/>
    <w:rsid w:val="006C086A"/>
    <w:rsid w:val="006C21C1"/>
    <w:rsid w:val="006C7327"/>
    <w:rsid w:val="006D00E5"/>
    <w:rsid w:val="006D2CEB"/>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51E0"/>
    <w:rsid w:val="008D77BD"/>
    <w:rsid w:val="008E454C"/>
    <w:rsid w:val="008F0E1F"/>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6E1"/>
    <w:rsid w:val="00A11228"/>
    <w:rsid w:val="00A222C2"/>
    <w:rsid w:val="00A305D6"/>
    <w:rsid w:val="00A342C4"/>
    <w:rsid w:val="00A45996"/>
    <w:rsid w:val="00A50F6B"/>
    <w:rsid w:val="00A52237"/>
    <w:rsid w:val="00A551D6"/>
    <w:rsid w:val="00A6251B"/>
    <w:rsid w:val="00A6754E"/>
    <w:rsid w:val="00A70F58"/>
    <w:rsid w:val="00A72987"/>
    <w:rsid w:val="00A7346B"/>
    <w:rsid w:val="00A76CE2"/>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ACE"/>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DB7"/>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51D"/>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CF9"/>
    <w:rsid w:val="00E93836"/>
    <w:rsid w:val="00EA7C16"/>
    <w:rsid w:val="00EB351C"/>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FF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580D4C"/>
  <w15:docId w15:val="{AFACA3B4-2D99-43C6-AF68-85CBA2B06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82CF9"/>
  </w:style>
  <w:style w:type="paragraph" w:styleId="BalloonText">
    <w:name w:val="Balloon Text"/>
    <w:basedOn w:val="Normal"/>
    <w:link w:val="BalloonTextChar"/>
    <w:semiHidden/>
    <w:unhideWhenUsed/>
    <w:rsid w:val="00A046E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46E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1241</Words>
  <Characters>6714</Characters>
  <Application>Microsoft Office Word</Application>
  <DocSecurity>0</DocSecurity>
  <Lines>160</Lines>
  <Paragraphs>39</Paragraphs>
  <ScaleCrop>false</ScaleCrop>
  <HeadingPairs>
    <vt:vector size="2" baseType="variant">
      <vt:variant>
        <vt:lpstr>Title</vt:lpstr>
      </vt:variant>
      <vt:variant>
        <vt:i4>1</vt:i4>
      </vt:variant>
    </vt:vector>
  </HeadingPairs>
  <TitlesOfParts>
    <vt:vector size="1" baseType="lpstr">
      <vt:lpstr>S1265</vt:lpstr>
    </vt:vector>
  </TitlesOfParts>
  <Manager>R224</Manager>
  <Company>NJ Office of Legislative Services</Company>
  <LinksUpToDate>false</LinksUpToDate>
  <CharactersWithSpaces>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S1265</dc:title>
  <dc:subject/>
  <dc:creator>Senator  BEACH</dc:creator>
  <cp:keywords>S1265|4|JU |284|0|284|N|0|</cp:keywords>
  <dc:description>INTRODUCED FEBRUARY 3, 2020</dc:description>
  <cp:lastModifiedBy>Todaro, Vivian</cp:lastModifiedBy>
  <cp:revision>2</cp:revision>
  <cp:lastPrinted>2021-12-03T20:36:00Z</cp:lastPrinted>
  <dcterms:created xsi:type="dcterms:W3CDTF">2021-12-03T20:36:00Z</dcterms:created>
  <dcterms:modified xsi:type="dcterms:W3CDTF">2021-12-03T20:36:00Z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