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035" w:rsidRDefault="00BF0035" w:rsidP="00BF0035">
      <w:pPr>
        <w:pStyle w:val="bpuBill"/>
      </w:pPr>
      <w:bookmarkStart w:id="0" w:name="bpuFrontPg"/>
      <w:bookmarkStart w:id="1" w:name="_GoBack"/>
      <w:bookmarkEnd w:id="0"/>
      <w:bookmarkEnd w:id="1"/>
      <w:r>
        <w:t xml:space="preserve">SENATE, No. 1370 </w:t>
      </w:r>
    </w:p>
    <w:p w:rsidR="00BF0035" w:rsidRPr="009D38FF" w:rsidRDefault="00BF0035" w:rsidP="00BF00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002693" r:id="rId7"/>
        </w:object>
      </w:r>
    </w:p>
    <w:p w:rsidR="00BF0035" w:rsidRDefault="00BF0035" w:rsidP="00BF0035">
      <w:pPr>
        <w:pStyle w:val="bpuState"/>
      </w:pPr>
      <w:r>
        <w:t>STATE OF NEW JERSEY</w:t>
      </w:r>
    </w:p>
    <w:p w:rsidR="00BF0035" w:rsidRDefault="00BF0035" w:rsidP="00BF0035">
      <w:pPr>
        <w:pStyle w:val="bpuLegislature"/>
      </w:pPr>
      <w:r>
        <w:t>219th LEGISLATURE</w:t>
      </w:r>
    </w:p>
    <w:p w:rsidR="00BF0035" w:rsidRDefault="00BF0035" w:rsidP="00BF0035">
      <w:pPr>
        <w:pStyle w:val="bpuWpGraphic"/>
      </w:pPr>
      <w:r>
        <w:object w:dxaOrig="8985" w:dyaOrig="255">
          <v:shape id="_x0000_i1026" type="#_x0000_t75" style="width:6in;height:12pt" o:ole="">
            <v:imagedata r:id="rId6" o:title=""/>
          </v:shape>
          <o:OLEObject Type="Embed" ProgID="WPWin6.1" ShapeID="_x0000_i1026" DrawAspect="Content" ObjectID="_1654002694" r:id="rId8"/>
        </w:object>
      </w:r>
      <w:r>
        <w:t xml:space="preserve">  </w:t>
      </w:r>
    </w:p>
    <w:p w:rsidR="00BF0035" w:rsidRDefault="00BF0035" w:rsidP="00BF0035">
      <w:pPr>
        <w:pStyle w:val="bpuIntro"/>
      </w:pPr>
      <w:r>
        <w:t>INTRODUCED FEBRUARY 10, 2020</w:t>
      </w:r>
    </w:p>
    <w:p w:rsidR="00BF0035" w:rsidRDefault="00BF0035" w:rsidP="00BF0035">
      <w:pPr>
        <w:pStyle w:val="bpuIntro"/>
      </w:pPr>
    </w:p>
    <w:p w:rsidR="00BF0035" w:rsidRDefault="00BF0035" w:rsidP="00BF0035">
      <w:pPr>
        <w:pStyle w:val="bpuIntro"/>
        <w:sectPr w:rsidR="00BF0035" w:rsidSect="00F314D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F0035" w:rsidRDefault="00BF0035" w:rsidP="00BF0035">
      <w:pPr>
        <w:pStyle w:val="bpuIntro"/>
      </w:pPr>
    </w:p>
    <w:p w:rsidR="00BF0035" w:rsidRDefault="00BF0035" w:rsidP="00BF0035">
      <w:pPr>
        <w:pStyle w:val="bpuSponsor"/>
      </w:pPr>
      <w:r>
        <w:t>Sponsored by:</w:t>
      </w:r>
    </w:p>
    <w:p w:rsidR="00BF0035" w:rsidRDefault="00BF0035" w:rsidP="00BF0035">
      <w:pPr>
        <w:pStyle w:val="bpuSponsor"/>
      </w:pPr>
      <w:r>
        <w:t>Senator  STEPHEN M. SWEENEY</w:t>
      </w:r>
    </w:p>
    <w:p w:rsidR="00BF0035" w:rsidRDefault="00BF0035" w:rsidP="00BF0035">
      <w:pPr>
        <w:pStyle w:val="bpuSponsor"/>
      </w:pPr>
      <w:r>
        <w:t>District 3 (Cumberland, Gloucester and Salem)</w:t>
      </w:r>
    </w:p>
    <w:p w:rsidR="00BF0035" w:rsidRDefault="00BF0035" w:rsidP="00BF0035">
      <w:pPr>
        <w:pStyle w:val="bpuSponsor"/>
      </w:pPr>
      <w:r>
        <w:t>Senator  NICHOLAS P. SCUTARI</w:t>
      </w:r>
    </w:p>
    <w:p w:rsidR="00BF0035" w:rsidRDefault="00BF0035" w:rsidP="00BF0035">
      <w:pPr>
        <w:pStyle w:val="bpuSponsor"/>
      </w:pPr>
      <w:r>
        <w:t>District 22 (Middlesex, Somerset and Union)</w:t>
      </w:r>
    </w:p>
    <w:p w:rsidR="00BF0035" w:rsidRDefault="007D7B7F" w:rsidP="007D7B7F">
      <w:pPr>
        <w:pStyle w:val="bpuSponsor"/>
      </w:pPr>
      <w:r>
        <w:t>Senator  LINDA R. GREENSTEIN</w:t>
      </w:r>
    </w:p>
    <w:p w:rsidR="007D7B7F" w:rsidRDefault="007D7B7F" w:rsidP="007D7B7F">
      <w:pPr>
        <w:pStyle w:val="bpuSponsor"/>
      </w:pPr>
      <w:r>
        <w:t>District 14 (Mercer and Middlesex)</w:t>
      </w:r>
    </w:p>
    <w:p w:rsidR="007D7B7F" w:rsidRDefault="00F314D3" w:rsidP="00F314D3">
      <w:pPr>
        <w:pStyle w:val="bpuSponsor"/>
      </w:pPr>
      <w:r>
        <w:t>Assemblyman  WAYNE P. DEANGELO</w:t>
      </w:r>
    </w:p>
    <w:p w:rsidR="00F314D3" w:rsidRDefault="00F314D3" w:rsidP="00F314D3">
      <w:pPr>
        <w:pStyle w:val="bpuSponsor"/>
      </w:pPr>
      <w:r>
        <w:t>District 14 (Mercer and Middlesex)</w:t>
      </w:r>
    </w:p>
    <w:p w:rsidR="00F314D3" w:rsidRDefault="00F314D3" w:rsidP="00F314D3">
      <w:pPr>
        <w:pStyle w:val="bpuSponsor"/>
      </w:pPr>
      <w:r>
        <w:t>Assemblyman  JOSEPH V. EGAN</w:t>
      </w:r>
    </w:p>
    <w:p w:rsidR="00F314D3" w:rsidRDefault="00F314D3" w:rsidP="00F314D3">
      <w:pPr>
        <w:pStyle w:val="bpuSponsor"/>
      </w:pPr>
      <w:r>
        <w:t>District 17 (Middlesex and Somerset)</w:t>
      </w:r>
    </w:p>
    <w:p w:rsidR="00F314D3" w:rsidRDefault="00F314D3" w:rsidP="00F314D3">
      <w:pPr>
        <w:pStyle w:val="bpuSponsor"/>
      </w:pPr>
      <w:r>
        <w:t>Assemblyman  THOMAS P. GIBLIN</w:t>
      </w:r>
    </w:p>
    <w:p w:rsidR="00F314D3" w:rsidRDefault="00F314D3" w:rsidP="00F314D3">
      <w:pPr>
        <w:pStyle w:val="bpuSponsor"/>
      </w:pPr>
      <w:r>
        <w:t>District 34 (Essex and Passaic)</w:t>
      </w:r>
    </w:p>
    <w:p w:rsidR="00F314D3" w:rsidRDefault="00F314D3" w:rsidP="00F314D3">
      <w:pPr>
        <w:pStyle w:val="bpuSponsor"/>
      </w:pPr>
      <w:r>
        <w:t>Assemblyman  ANTHONY S. VERRELLI</w:t>
      </w:r>
    </w:p>
    <w:p w:rsidR="00F314D3" w:rsidRDefault="00F314D3" w:rsidP="00F314D3">
      <w:pPr>
        <w:pStyle w:val="bpuSponsor"/>
      </w:pPr>
      <w:r>
        <w:t>District 15 (Hunterdon and Mercer)</w:t>
      </w:r>
    </w:p>
    <w:p w:rsidR="00F314D3" w:rsidRPr="00F314D3" w:rsidRDefault="00F314D3" w:rsidP="00F314D3"/>
    <w:p w:rsidR="00BF0035" w:rsidRDefault="00F314D3" w:rsidP="00F314D3">
      <w:pPr>
        <w:pStyle w:val="bpuSponsor"/>
      </w:pPr>
      <w:r>
        <w:t>Co-Sponsored by:</w:t>
      </w:r>
    </w:p>
    <w:p w:rsidR="00F314D3" w:rsidRPr="00F314D3" w:rsidRDefault="00F314D3" w:rsidP="00F314D3">
      <w:pPr>
        <w:pStyle w:val="bpuSponsor"/>
      </w:pPr>
      <w:r w:rsidRPr="00F314D3">
        <w:t xml:space="preserve">Senator </w:t>
      </w:r>
      <w:proofErr w:type="spellStart"/>
      <w:r w:rsidRPr="00F314D3">
        <w:t>Addiego</w:t>
      </w:r>
      <w:proofErr w:type="spellEnd"/>
      <w:r w:rsidRPr="00F314D3">
        <w:t xml:space="preserve">, Assemblywomen Reynolds-Jackson, </w:t>
      </w:r>
      <w:proofErr w:type="spellStart"/>
      <w:r w:rsidRPr="00F314D3">
        <w:t>Chaparro</w:t>
      </w:r>
      <w:proofErr w:type="spellEnd"/>
      <w:r w:rsidRPr="00F314D3">
        <w:t xml:space="preserve">, Assemblymen Taliaferro, </w:t>
      </w:r>
      <w:proofErr w:type="spellStart"/>
      <w:r w:rsidRPr="00F314D3">
        <w:t>Houghtaling</w:t>
      </w:r>
      <w:proofErr w:type="spellEnd"/>
      <w:r w:rsidRPr="00F314D3">
        <w:t xml:space="preserve">, Assemblywomen Murphy, Downey, Assemblyman </w:t>
      </w:r>
      <w:proofErr w:type="spellStart"/>
      <w:r w:rsidRPr="00F314D3">
        <w:t>Wimberly</w:t>
      </w:r>
      <w:proofErr w:type="spellEnd"/>
      <w:r w:rsidRPr="00F314D3">
        <w:t>, Assemblywomen Sumter, Carter and Jimenez</w:t>
      </w:r>
    </w:p>
    <w:p w:rsidR="003A1D80" w:rsidRDefault="003A1D80" w:rsidP="003A1D80"/>
    <w:p w:rsidR="00F314D3" w:rsidRDefault="00F314D3" w:rsidP="003A1D80"/>
    <w:p w:rsidR="003A1D80" w:rsidRPr="003A1D80" w:rsidRDefault="003A1D80" w:rsidP="003A1D80"/>
    <w:p w:rsidR="00BF0035" w:rsidRDefault="00BF0035" w:rsidP="00BF0035">
      <w:pPr>
        <w:pStyle w:val="bpuSponsor"/>
      </w:pPr>
    </w:p>
    <w:p w:rsidR="00BF0035" w:rsidRDefault="00BF0035" w:rsidP="00BF0035">
      <w:pPr>
        <w:pStyle w:val="bpuSponsor"/>
      </w:pPr>
      <w:r>
        <w:t>SYNOPSIS</w:t>
      </w:r>
    </w:p>
    <w:p w:rsidR="00BF0035" w:rsidRDefault="00BF0035" w:rsidP="00BF0035">
      <w:pPr>
        <w:pStyle w:val="bpuNormText"/>
      </w:pPr>
      <w:r>
        <w:tab/>
        <w:t xml:space="preserve">Revises definition of “public works projects” to permit project labor agreements for more projects. </w:t>
      </w:r>
    </w:p>
    <w:p w:rsidR="00BF0035" w:rsidRDefault="00BF0035" w:rsidP="00BF0035">
      <w:pPr>
        <w:pStyle w:val="bpuNormText"/>
      </w:pPr>
    </w:p>
    <w:p w:rsidR="00BF0035" w:rsidRDefault="00BF0035" w:rsidP="00BF0035">
      <w:pPr>
        <w:pStyle w:val="bpuSponsor"/>
      </w:pPr>
      <w:r>
        <w:t xml:space="preserve">CURRENT VERSION OF TEXT </w:t>
      </w:r>
    </w:p>
    <w:p w:rsidR="00BF0035" w:rsidRDefault="00BF0035" w:rsidP="00BF0035">
      <w:pPr>
        <w:pStyle w:val="bpuNormText"/>
      </w:pPr>
      <w:r>
        <w:tab/>
        <w:t>As introduced.</w:t>
      </w:r>
    </w:p>
    <w:p w:rsidR="00BF0035" w:rsidRDefault="00BF0035" w:rsidP="00BF00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0035" w:rsidRDefault="00BF0035" w:rsidP="008916EC">
      <w:pPr>
        <w:pStyle w:val="FronterPage"/>
        <w:tabs>
          <w:tab w:val="clear" w:pos="720"/>
          <w:tab w:val="clear" w:pos="1440"/>
          <w:tab w:val="clear" w:pos="2160"/>
          <w:tab w:val="clear" w:pos="2880"/>
          <w:tab w:val="clear" w:pos="3600"/>
          <w:tab w:val="clear" w:pos="4320"/>
          <w:tab w:val="clear" w:pos="5040"/>
        </w:tabs>
        <w:sectPr w:rsidR="00BF0035" w:rsidSect="00BF0035">
          <w:type w:val="continuous"/>
          <w:pgSz w:w="12240" w:h="20160" w:code="5"/>
          <w:pgMar w:top="1440" w:right="2275" w:bottom="1440" w:left="2275" w:header="72" w:footer="720" w:gutter="0"/>
          <w:pgNumType w:start="1"/>
          <w:cols w:space="720"/>
          <w:docGrid w:linePitch="360"/>
        </w:sectPr>
      </w:pPr>
    </w:p>
    <w:p w:rsidR="00F00CDF" w:rsidRPr="00677316" w:rsidRDefault="00F00CDF" w:rsidP="00F00CDF">
      <w:pPr>
        <w:pStyle w:val="HangingAnAct"/>
        <w:rPr>
          <w:rStyle w:val="HangingAnActChar"/>
        </w:rPr>
      </w:pPr>
      <w:r w:rsidRPr="00F00CDF">
        <w:rPr>
          <w:rStyle w:val="BillHead"/>
        </w:rPr>
        <w:lastRenderedPageBreak/>
        <w:t>An Act</w:t>
      </w:r>
      <w:r w:rsidRPr="006B7FA7">
        <w:rPr>
          <w:rStyle w:val="HangingAnActChar"/>
        </w:rPr>
        <w:t xml:space="preserve"> </w:t>
      </w:r>
      <w:r>
        <w:rPr>
          <w:rStyle w:val="HangingAnActChar"/>
        </w:rPr>
        <w:t>concerning project labor agreements and amending P.L.2002, c.44.</w:t>
      </w:r>
    </w:p>
    <w:p w:rsidR="00F00CDF" w:rsidRPr="00D71D68" w:rsidRDefault="00F00CDF" w:rsidP="00F00CDF"/>
    <w:p w:rsidR="00F00CDF" w:rsidRPr="00AA7880" w:rsidRDefault="00F00CDF" w:rsidP="00F00CDF">
      <w:r>
        <w:tab/>
      </w:r>
      <w:r>
        <w:rPr>
          <w:rStyle w:val="BillHeading2"/>
        </w:rPr>
        <w:t xml:space="preserve">Be It Enacted </w:t>
      </w:r>
      <w:r>
        <w:rPr>
          <w:rStyle w:val="BillLanguage"/>
        </w:rPr>
        <w:t>by the Senate and General Assembly of the State of New Jersey:</w:t>
      </w:r>
    </w:p>
    <w:p w:rsidR="00F00CDF" w:rsidRPr="00D71D68" w:rsidRDefault="00F00CDF" w:rsidP="00F00CDF"/>
    <w:p w:rsidR="00F00CDF" w:rsidRDefault="00F00CDF" w:rsidP="00F00CDF">
      <w:r>
        <w:tab/>
        <w:t>1.</w:t>
      </w:r>
      <w:r>
        <w:tab/>
        <w:t>Section 2 of P.L.2002, c.44 (C.52:38-2) is amended to read as follows:</w:t>
      </w:r>
    </w:p>
    <w:p w:rsidR="00F00CDF" w:rsidRDefault="00F00CDF" w:rsidP="00F00CDF">
      <w:r>
        <w:tab/>
        <w:t>2.</w:t>
      </w:r>
      <w:r>
        <w:tab/>
        <w:t>For the purposes of this act:</w:t>
      </w:r>
    </w:p>
    <w:p w:rsidR="00F00CDF" w:rsidRDefault="00F00CDF" w:rsidP="00F00CDF">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w:t>
      </w:r>
      <w:r w:rsidRPr="00271884">
        <w:rPr>
          <w:rFonts w:ascii="Albertus Extra Bold" w:hAnsi="Albertus Extra Bold"/>
          <w:b/>
        </w:rPr>
        <w:t>[</w:t>
      </w:r>
      <w:r>
        <w:t>Bureau</w:t>
      </w:r>
      <w:r w:rsidRPr="00271884">
        <w:rPr>
          <w:rFonts w:ascii="Albertus Extra Bold" w:hAnsi="Albertus Extra Bold"/>
          <w:b/>
        </w:rPr>
        <w:t>]</w:t>
      </w:r>
      <w:r>
        <w:t xml:space="preserve"> </w:t>
      </w:r>
      <w:r>
        <w:rPr>
          <w:u w:val="single"/>
        </w:rPr>
        <w:t>Office</w:t>
      </w:r>
      <w:r>
        <w:t xml:space="preserve"> of Apprenticeship </w:t>
      </w:r>
      <w:r w:rsidRPr="00271884">
        <w:rPr>
          <w:rFonts w:ascii="Albertus Extra Bold" w:hAnsi="Albertus Extra Bold"/>
          <w:b/>
        </w:rPr>
        <w:t>[</w:t>
      </w:r>
      <w:r>
        <w:t>and Training</w:t>
      </w:r>
      <w:r w:rsidRPr="00271884">
        <w:rPr>
          <w:rFonts w:ascii="Albertus Extra Bold" w:hAnsi="Albertus Extra Bold"/>
          <w:b/>
        </w:rPr>
        <w:t>]</w:t>
      </w:r>
      <w:r>
        <w:t xml:space="preserve"> of the U.S. Department of Labor and meeting the standards established by the </w:t>
      </w:r>
      <w:r w:rsidRPr="00431CA5">
        <w:rPr>
          <w:rFonts w:ascii="Albertus Extra Bold" w:hAnsi="Albertus Extra Bold"/>
          <w:b/>
        </w:rPr>
        <w:t>[</w:t>
      </w:r>
      <w:r>
        <w:t>bureau</w:t>
      </w:r>
      <w:r w:rsidRPr="00431CA5">
        <w:rPr>
          <w:rFonts w:ascii="Albertus Extra Bold" w:hAnsi="Albertus Extra Bold"/>
          <w:b/>
        </w:rPr>
        <w:t>]</w:t>
      </w:r>
      <w:r>
        <w:t xml:space="preserve"> office, or registered by a State apprenticeship agency recognized by the </w:t>
      </w:r>
      <w:r w:rsidRPr="00431CA5">
        <w:rPr>
          <w:rFonts w:ascii="Albertus Extra Bold" w:hAnsi="Albertus Extra Bold"/>
          <w:b/>
        </w:rPr>
        <w:t>[</w:t>
      </w:r>
      <w:r>
        <w:t>bureau</w:t>
      </w:r>
      <w:r w:rsidRPr="00431CA5">
        <w:rPr>
          <w:rFonts w:ascii="Albertus Extra Bold" w:hAnsi="Albertus Extra Bold"/>
          <w:b/>
        </w:rPr>
        <w:t>]</w:t>
      </w:r>
      <w:r>
        <w:t xml:space="preserve"> </w:t>
      </w:r>
      <w:r w:rsidRPr="00431CA5">
        <w:rPr>
          <w:u w:val="single"/>
        </w:rPr>
        <w:t>office.</w:t>
      </w:r>
    </w:p>
    <w:p w:rsidR="00F00CDF" w:rsidRDefault="00F00CDF" w:rsidP="00F00CDF">
      <w:r>
        <w:tab/>
        <w:t>"Labor organization" means, with respect to a contracted work on a public works project, an organization which represents, for purposes of collective bargaining, employees  involved in the performance of public works contracts and eligible to be paid prevailing wages under the "New Jersey Prevailing Wage Act", P.L.1963, c.150 (C.34:11-56.25 et seq.)and has the present ability to refer, provide or represent sufficient numbers of qualified employees to perform the contracted work, in a manner consistent with the provisions of this act and any plan mutually agreed upon by the labor organization and the public entity pursuant to subsection g. of section 5 of this act.</w:t>
      </w:r>
    </w:p>
    <w:p w:rsidR="00F00CDF" w:rsidRDefault="00F00CDF" w:rsidP="00F00CDF">
      <w:r>
        <w:tab/>
        <w:t>"Project labor agreement" means a form of pre-hire collective bargaining agreement covering terms and conditions of a specific project.</w:t>
      </w:r>
    </w:p>
    <w:p w:rsidR="00F00CDF" w:rsidRDefault="00F00CDF" w:rsidP="00F00CDF">
      <w:r>
        <w:tab/>
        <w:t>"Public entity" means the State, any of its political subdivisions, any authority created by the Legislature and any instrumentality or agency of the State or of any of its political subdivisions.</w:t>
      </w:r>
    </w:p>
    <w:p w:rsidR="00F00CDF" w:rsidRDefault="00F00CDF" w:rsidP="00F00CDF">
      <w:r>
        <w:tab/>
        <w:t xml:space="preserve">"Public works project" means any public works project for </w:t>
      </w:r>
      <w:r w:rsidRPr="002D2CBC">
        <w:rPr>
          <w:rFonts w:ascii="Albertus Extra Bold" w:hAnsi="Albertus Extra Bold"/>
          <w:b/>
        </w:rPr>
        <w:t>[</w:t>
      </w:r>
      <w:r>
        <w:t>the</w:t>
      </w:r>
      <w:r w:rsidRPr="002D2CBC">
        <w:rPr>
          <w:rFonts w:ascii="Albertus Extra Bold" w:hAnsi="Albertus Extra Bold"/>
          <w:b/>
        </w:rPr>
        <w:t>]</w:t>
      </w:r>
      <w:r>
        <w:t xml:space="preserve"> construction, reconstruction, demolition or renovation </w:t>
      </w:r>
      <w:r w:rsidRPr="00DB1A73">
        <w:rPr>
          <w:rFonts w:ascii="Albertus Extra Bold" w:hAnsi="Albertus Extra Bold"/>
          <w:b/>
        </w:rPr>
        <w:t>[</w:t>
      </w:r>
      <w:r>
        <w:t>of buildings at the public expense, other than pumping stations or water or sewage treatment plants,</w:t>
      </w:r>
      <w:r w:rsidRPr="00DB1A73">
        <w:rPr>
          <w:rFonts w:ascii="Albertus Extra Bold" w:hAnsi="Albertus Extra Bold"/>
          <w:b/>
        </w:rPr>
        <w:t>]</w:t>
      </w:r>
      <w:r>
        <w:t xml:space="preserve"> for which:</w:t>
      </w:r>
    </w:p>
    <w:p w:rsidR="00F00CDF" w:rsidRDefault="00F00CDF" w:rsidP="00F00CDF">
      <w:r>
        <w:tab/>
        <w:t>(1)</w:t>
      </w:r>
      <w:r>
        <w:tab/>
        <w:t xml:space="preserve">It is required by law that workers be paid the prevailing wage determined by the Commissioner of Labor </w:t>
      </w:r>
      <w:r>
        <w:rPr>
          <w:u w:val="single"/>
        </w:rPr>
        <w:t>and Workforce Development</w:t>
      </w:r>
      <w:r>
        <w:t xml:space="preserve"> pursuant to the provisions of the "New Jersey Prevailing Wage Act", P.L.1963, c.150 (C.34:11-56.25 et seq.); and</w:t>
      </w:r>
    </w:p>
    <w:p w:rsidR="00F00CDF" w:rsidRDefault="00F00CDF" w:rsidP="00F00CDF">
      <w:r>
        <w:tab/>
        <w:t>(2)</w:t>
      </w:r>
      <w:r>
        <w:tab/>
        <w:t>The public entity estimates that the total cost of the project,</w:t>
      </w:r>
    </w:p>
    <w:p w:rsidR="00F00CDF" w:rsidRDefault="00F00CDF" w:rsidP="00F00CDF">
      <w:r>
        <w:t>exclusive of any land acquisition costs, will equal or exceed $5 million.</w:t>
      </w:r>
    </w:p>
    <w:p w:rsidR="001F2AAE" w:rsidRDefault="00F00CDF" w:rsidP="001F2AAE">
      <w:r>
        <w:t>(</w:t>
      </w:r>
      <w:proofErr w:type="spellStart"/>
      <w:r>
        <w:t>cf</w:t>
      </w:r>
      <w:proofErr w:type="spellEnd"/>
      <w:r>
        <w:t>: P.L.2002, c.44, s.2)</w:t>
      </w:r>
      <w:r w:rsidR="001F2AAE">
        <w:br w:type="page"/>
      </w:r>
    </w:p>
    <w:p w:rsidR="00643FA4" w:rsidRDefault="00643FA4" w:rsidP="00F00CDF">
      <w:r>
        <w:lastRenderedPageBreak/>
        <w:tab/>
      </w:r>
      <w:r w:rsidR="00F00CDF">
        <w:t>2.</w:t>
      </w:r>
      <w:r w:rsidR="00F00CDF">
        <w:tab/>
        <w:t>This act shall take effect immediately.</w:t>
      </w:r>
    </w:p>
    <w:p w:rsidR="00643FA4" w:rsidRDefault="00643FA4" w:rsidP="00F00CDF">
      <w:pPr>
        <w:jc w:val="center"/>
      </w:pPr>
    </w:p>
    <w:p w:rsidR="00643FA4" w:rsidRDefault="00643FA4" w:rsidP="00F00CDF">
      <w:pPr>
        <w:jc w:val="center"/>
      </w:pPr>
    </w:p>
    <w:p w:rsidR="00F00CDF" w:rsidRPr="00AA7880" w:rsidRDefault="00F00CDF" w:rsidP="00F00CDF">
      <w:pPr>
        <w:jc w:val="center"/>
      </w:pPr>
      <w:r w:rsidRPr="00D71D68">
        <w:t>STATEMENT</w:t>
      </w:r>
    </w:p>
    <w:p w:rsidR="00F00CDF" w:rsidRDefault="00F00CDF" w:rsidP="00F00CDF"/>
    <w:p w:rsidR="00F00CDF" w:rsidRDefault="00F00CDF" w:rsidP="00F00CDF">
      <w:r>
        <w:tab/>
        <w:t>This bill expands the permissible use of project labor agreements (PLAs) beyond contracts for building-based public works projects.</w:t>
      </w:r>
    </w:p>
    <w:p w:rsidR="00F00CDF" w:rsidRDefault="00F00CDF" w:rsidP="00F00CDF">
      <w:r>
        <w:tab/>
        <w:t>Current law allows a public entity to use a PLA for public works projects that are:</w:t>
      </w:r>
    </w:p>
    <w:p w:rsidR="00F00CDF" w:rsidRDefault="00F00CDF" w:rsidP="00F00CDF">
      <w:r>
        <w:tab/>
        <w:t>1.</w:t>
      </w:r>
      <w:r>
        <w:tab/>
        <w:t>Worth at least $5 million (excluding land acquisition costs);</w:t>
      </w:r>
    </w:p>
    <w:p w:rsidR="00F00CDF" w:rsidRDefault="00F00CDF" w:rsidP="00F00CDF">
      <w:r>
        <w:tab/>
        <w:t>2.</w:t>
      </w:r>
      <w:r>
        <w:tab/>
        <w:t>Subject to the prevailing wage law; and</w:t>
      </w:r>
    </w:p>
    <w:p w:rsidR="00F00CDF" w:rsidRDefault="00F00CDF" w:rsidP="00F00CDF">
      <w:r>
        <w:tab/>
        <w:t>3.</w:t>
      </w:r>
      <w:r>
        <w:tab/>
        <w:t>For the construction, reconstruction, demolition, or renovation of buildings at the public expense.</w:t>
      </w:r>
    </w:p>
    <w:p w:rsidR="00F00CDF" w:rsidRDefault="00F00CDF" w:rsidP="00F00CDF">
      <w:r>
        <w:tab/>
        <w:t>Current law does not extend the capacity of public entities to use PLAs for highway, bridge, pumping station, and water and sewage treatment plant projects.</w:t>
      </w:r>
    </w:p>
    <w:p w:rsidR="00F00CDF" w:rsidRDefault="00F00CDF" w:rsidP="00F00CDF">
      <w:r>
        <w:tab/>
        <w:t>This bill expands the permissible use of PLAs beyond building-based public works contracts so as to allow public entities to use PLAs for highway, bridge, pumping station, and water and sewage treatment plant projects.</w:t>
      </w:r>
    </w:p>
    <w:p w:rsidR="00F00CDF" w:rsidRDefault="00F00CDF" w:rsidP="00F00CDF">
      <w:r>
        <w:tab/>
        <w:t>Technically, the bill revises the definition of “public works project” under P.L.2002, c.44 (C.52:38-1 et seq.</w:t>
      </w:r>
      <w:r w:rsidRPr="00212E07">
        <w:t>)</w:t>
      </w:r>
      <w:r>
        <w:t xml:space="preserve"> to remove the exclusion of non-building-based projects.  By revising the definition of “public works project,” the bill extends the option of using a PLA to projects excluded under current law, such as highways, bridges, pumping stations, and water and sewage treatment plants.  The bill does not change the requirements that a PLA eligible project must be worth at least $5 million and be subject to the prevailing wage law.</w:t>
      </w:r>
    </w:p>
    <w:sectPr w:rsidR="00F00CDF" w:rsidSect="00E220C0">
      <w:headerReference w:type="default" r:id="rId13"/>
      <w:footerReference w:type="default" r:id="rId14"/>
      <w:headerReference w:type="first" r:id="rId15"/>
      <w:footerReference w:type="first" r:id="rId16"/>
      <w:pgSz w:w="12240" w:h="20160" w:code="5"/>
      <w:pgMar w:top="1440" w:right="2520" w:bottom="1872" w:left="2880" w:header="1181" w:footer="8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F66" w:rsidRDefault="009A5F66">
      <w:r>
        <w:separator/>
      </w:r>
    </w:p>
  </w:endnote>
  <w:endnote w:type="continuationSeparator" w:id="0">
    <w:p w:rsidR="009A5F66" w:rsidRDefault="009A5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D80" w:rsidRDefault="00F314D3" w:rsidP="00F314D3">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FA4" w:rsidRPr="00921C91" w:rsidRDefault="00643F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3FA4" w:rsidRPr="00921C91" w:rsidRDefault="00643FA4">
    <w:pPr>
      <w:pStyle w:val="Footer"/>
      <w:rPr>
        <w:szCs w:val="18"/>
      </w:rPr>
    </w:pPr>
  </w:p>
  <w:p w:rsidR="00643FA4" w:rsidRPr="00921C91" w:rsidRDefault="00643F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3FA4" w:rsidRDefault="00643FA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F66" w:rsidRDefault="009A5F66">
      <w:r>
        <w:separator/>
      </w:r>
    </w:p>
  </w:footnote>
  <w:footnote w:type="continuationSeparator" w:id="0">
    <w:p w:rsidR="009A5F66" w:rsidRDefault="009A5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00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0035" w:rsidRDefault="00BF0035" w:rsidP="00BF0035">
    <w:pPr>
      <w:pStyle w:val="bpuHeadSpon"/>
    </w:pPr>
    <w:r w:rsidRPr="00BF0035">
      <w:rPr>
        <w:rStyle w:val="bpuHeadSponChar"/>
      </w:rPr>
      <w:t>S1370</w:t>
    </w:r>
    <w:r>
      <w:t xml:space="preserve"> SWEENEY, SCUTARI</w:t>
    </w:r>
  </w:p>
  <w:p w:rsidR="00BF0035" w:rsidRDefault="00BF0035" w:rsidP="00BF0035">
    <w:pPr>
      <w:pStyle w:val="bpuHeadSpon"/>
    </w:pPr>
    <w:r>
      <w:fldChar w:fldCharType="begin"/>
    </w:r>
    <w:r>
      <w:instrText xml:space="preserve"> PAGE  \* MERGEFORMAT </w:instrText>
    </w:r>
    <w:r>
      <w:fldChar w:fldCharType="separate"/>
    </w:r>
    <w:r w:rsidR="00F90023">
      <w:rPr>
        <w:noProof/>
      </w:rPr>
      <w:t>3</w:t>
    </w:r>
    <w:r>
      <w:fldChar w:fldCharType="end"/>
    </w:r>
  </w:p>
  <w:p w:rsidR="00BF0035" w:rsidRDefault="00BF0035" w:rsidP="00BF00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0035" w:rsidRDefault="00BF0035" w:rsidP="00BF0035">
    <w:pPr>
      <w:pStyle w:val="bpuHeadSpon"/>
    </w:pPr>
    <w:r w:rsidRPr="00BF0035">
      <w:rPr>
        <w:rStyle w:val="bpuHeadSponChar"/>
      </w:rPr>
      <w:t>S1370</w:t>
    </w:r>
    <w:r>
      <w:t xml:space="preserve"> SWEENEY, SCUTARI</w:t>
    </w:r>
  </w:p>
  <w:p w:rsidR="00BF0035" w:rsidRDefault="00BF0035" w:rsidP="00BF0035">
    <w:pPr>
      <w:pStyle w:val="bpuHeadSpon"/>
    </w:pPr>
    <w:r>
      <w:fldChar w:fldCharType="begin"/>
    </w:r>
    <w:r>
      <w:instrText xml:space="preserve"> PAGE  \* MERGEFORMAT </w:instrText>
    </w:r>
    <w:r>
      <w:fldChar w:fldCharType="separate"/>
    </w:r>
    <w:r w:rsidR="00F90023">
      <w:rPr>
        <w:noProof/>
      </w:rPr>
      <w:t>2</w:t>
    </w:r>
    <w:r>
      <w:fldChar w:fldCharType="end"/>
    </w:r>
  </w:p>
  <w:p w:rsidR="00BF0035" w:rsidRDefault="00BF0035" w:rsidP="00BF00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F6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B8B"/>
    <w:rsid w:val="00160F5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AAE"/>
    <w:rsid w:val="001F7405"/>
    <w:rsid w:val="00205533"/>
    <w:rsid w:val="00212B8D"/>
    <w:rsid w:val="00222983"/>
    <w:rsid w:val="002370D0"/>
    <w:rsid w:val="00255958"/>
    <w:rsid w:val="00257FA2"/>
    <w:rsid w:val="0026574A"/>
    <w:rsid w:val="002660BB"/>
    <w:rsid w:val="0027085F"/>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3C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D8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773"/>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E6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FA4"/>
    <w:rsid w:val="00645E6A"/>
    <w:rsid w:val="00651D5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F99"/>
    <w:rsid w:val="00794B94"/>
    <w:rsid w:val="00794BD4"/>
    <w:rsid w:val="007A2F73"/>
    <w:rsid w:val="007A3061"/>
    <w:rsid w:val="007A5A0B"/>
    <w:rsid w:val="007C0E14"/>
    <w:rsid w:val="007C7DE4"/>
    <w:rsid w:val="007D40CB"/>
    <w:rsid w:val="007D5796"/>
    <w:rsid w:val="007D59C0"/>
    <w:rsid w:val="007D7B7F"/>
    <w:rsid w:val="007D7D9C"/>
    <w:rsid w:val="007F485D"/>
    <w:rsid w:val="007F6050"/>
    <w:rsid w:val="0081131D"/>
    <w:rsid w:val="00813627"/>
    <w:rsid w:val="00832816"/>
    <w:rsid w:val="00837109"/>
    <w:rsid w:val="00840365"/>
    <w:rsid w:val="008406A3"/>
    <w:rsid w:val="00841D2C"/>
    <w:rsid w:val="00842854"/>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F66"/>
    <w:rsid w:val="009B06D2"/>
    <w:rsid w:val="009B34EC"/>
    <w:rsid w:val="009B5D67"/>
    <w:rsid w:val="009B6176"/>
    <w:rsid w:val="009C0D22"/>
    <w:rsid w:val="009C2DD9"/>
    <w:rsid w:val="009C3E09"/>
    <w:rsid w:val="009C5630"/>
    <w:rsid w:val="009D0E5D"/>
    <w:rsid w:val="009D0F63"/>
    <w:rsid w:val="009D7934"/>
    <w:rsid w:val="009D7CCF"/>
    <w:rsid w:val="009E5961"/>
    <w:rsid w:val="009F305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22A"/>
    <w:rsid w:val="00BE24D6"/>
    <w:rsid w:val="00BE7EFA"/>
    <w:rsid w:val="00BF0035"/>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FAD"/>
    <w:rsid w:val="00CF72AD"/>
    <w:rsid w:val="00D02441"/>
    <w:rsid w:val="00D039F4"/>
    <w:rsid w:val="00D10496"/>
    <w:rsid w:val="00D11173"/>
    <w:rsid w:val="00D1215F"/>
    <w:rsid w:val="00D16561"/>
    <w:rsid w:val="00D17FF8"/>
    <w:rsid w:val="00D268AC"/>
    <w:rsid w:val="00D27FF3"/>
    <w:rsid w:val="00D343D0"/>
    <w:rsid w:val="00D35CCA"/>
    <w:rsid w:val="00D3664D"/>
    <w:rsid w:val="00D500E9"/>
    <w:rsid w:val="00D507BC"/>
    <w:rsid w:val="00D6090A"/>
    <w:rsid w:val="00D62FA3"/>
    <w:rsid w:val="00D63B6F"/>
    <w:rsid w:val="00D64A90"/>
    <w:rsid w:val="00D9410B"/>
    <w:rsid w:val="00D9695B"/>
    <w:rsid w:val="00DA2417"/>
    <w:rsid w:val="00DA5585"/>
    <w:rsid w:val="00DB02AC"/>
    <w:rsid w:val="00DB6AA2"/>
    <w:rsid w:val="00DC5167"/>
    <w:rsid w:val="00DE10D1"/>
    <w:rsid w:val="00DE2514"/>
    <w:rsid w:val="00DE6851"/>
    <w:rsid w:val="00DF03EE"/>
    <w:rsid w:val="00E01B71"/>
    <w:rsid w:val="00E05CC9"/>
    <w:rsid w:val="00E15573"/>
    <w:rsid w:val="00E220C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CDF"/>
    <w:rsid w:val="00F00D08"/>
    <w:rsid w:val="00F15583"/>
    <w:rsid w:val="00F200EE"/>
    <w:rsid w:val="00F22481"/>
    <w:rsid w:val="00F2542E"/>
    <w:rsid w:val="00F27278"/>
    <w:rsid w:val="00F314D3"/>
    <w:rsid w:val="00F344E3"/>
    <w:rsid w:val="00F34D58"/>
    <w:rsid w:val="00F41A9D"/>
    <w:rsid w:val="00F44314"/>
    <w:rsid w:val="00F54B9C"/>
    <w:rsid w:val="00F56E96"/>
    <w:rsid w:val="00F573DD"/>
    <w:rsid w:val="00F61E59"/>
    <w:rsid w:val="00F63D99"/>
    <w:rsid w:val="00F6426B"/>
    <w:rsid w:val="00F709B3"/>
    <w:rsid w:val="00F71A5E"/>
    <w:rsid w:val="00F90023"/>
    <w:rsid w:val="00FA0AFC"/>
    <w:rsid w:val="00FA1C82"/>
    <w:rsid w:val="00FA2ED1"/>
    <w:rsid w:val="00FA4A52"/>
    <w:rsid w:val="00FB4045"/>
    <w:rsid w:val="00FB4D8E"/>
    <w:rsid w:val="00FC0D0A"/>
    <w:rsid w:val="00FC1B0B"/>
    <w:rsid w:val="00FD2F97"/>
    <w:rsid w:val="00FE61D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72E4A1"/>
  <w15:docId w15:val="{0871C2AF-6919-4776-8A2D-30DA859FF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F30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3053"/>
    <w:rPr>
      <w:rFonts w:ascii="Segoe UI" w:hAnsi="Segoe UI" w:cs="Segoe UI"/>
      <w:spacing w:val="4"/>
      <w:sz w:val="18"/>
      <w:szCs w:val="18"/>
    </w:rPr>
  </w:style>
  <w:style w:type="character" w:styleId="LineNumber">
    <w:name w:val="line number"/>
    <w:basedOn w:val="DefaultParagraphFont"/>
    <w:semiHidden/>
    <w:unhideWhenUsed/>
    <w:rsid w:val="00BF0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710</Words>
  <Characters>4012</Characters>
  <Application>Microsoft Office Word</Application>
  <DocSecurity>0</DocSecurity>
  <Lines>117</Lines>
  <Paragraphs>48</Paragraphs>
  <ScaleCrop>false</ScaleCrop>
  <HeadingPairs>
    <vt:vector size="2" baseType="variant">
      <vt:variant>
        <vt:lpstr>Title</vt:lpstr>
      </vt:variant>
      <vt:variant>
        <vt:i4>1</vt:i4>
      </vt:variant>
    </vt:vector>
  </HeadingPairs>
  <TitlesOfParts>
    <vt:vector size="1" baseType="lpstr">
      <vt:lpstr>S1370</vt:lpstr>
    </vt:vector>
  </TitlesOfParts>
  <Manager>R225</Manager>
  <Company>NJ Office of Legislative Services</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S1370</dc:title>
  <dc:subject>Reintro S4219/A6091 of 18 19</dc:subject>
  <dc:creator>Senator  SWEENEY, Senator  SCUTARI</dc:creator>
  <cp:keywords>S1370|3|CL |84|0|84|N|0|</cp:keywords>
  <dc:description>INTRODUCED FEBRUARY 10, 2020</dc:description>
  <cp:lastModifiedBy>Todaro, Vivian</cp:lastModifiedBy>
  <cp:revision>2</cp:revision>
  <cp:lastPrinted>2020-06-18T20:25:00Z</cp:lastPrinted>
  <dcterms:created xsi:type="dcterms:W3CDTF">2020-06-18T20:25:00Z</dcterms:created>
  <dcterms:modified xsi:type="dcterms:W3CDTF">2020-06-18T20:25:00Z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