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CF9" w:rsidRDefault="00785CF9" w:rsidP="00785CF9">
      <w:pPr>
        <w:pStyle w:val="bpuBill"/>
      </w:pPr>
      <w:bookmarkStart w:id="0" w:name="bpuFrontPg"/>
      <w:bookmarkStart w:id="1" w:name="_GoBack"/>
      <w:bookmarkEnd w:id="0"/>
      <w:bookmarkEnd w:id="1"/>
      <w:r>
        <w:t xml:space="preserve">SENATE, No. 1378 </w:t>
      </w:r>
    </w:p>
    <w:p w:rsidR="00785CF9" w:rsidRPr="009D38FF" w:rsidRDefault="00785CF9" w:rsidP="00785C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244" r:id="rId7"/>
        </w:object>
      </w:r>
    </w:p>
    <w:p w:rsidR="00785CF9" w:rsidRDefault="00785CF9" w:rsidP="00785CF9">
      <w:pPr>
        <w:pStyle w:val="bpuState"/>
      </w:pPr>
      <w:r>
        <w:t>STATE OF NEW JERSEY</w:t>
      </w:r>
    </w:p>
    <w:p w:rsidR="00785CF9" w:rsidRDefault="00785CF9" w:rsidP="00785CF9">
      <w:pPr>
        <w:pStyle w:val="bpuLegislature"/>
      </w:pPr>
      <w:r>
        <w:t>219th LEGISLATURE</w:t>
      </w:r>
    </w:p>
    <w:p w:rsidR="00785CF9" w:rsidRDefault="00785CF9" w:rsidP="00785CF9">
      <w:pPr>
        <w:pStyle w:val="bpuWpGraphic"/>
      </w:pPr>
      <w:r>
        <w:object w:dxaOrig="8985" w:dyaOrig="255">
          <v:shape id="_x0000_i1026" type="#_x0000_t75" style="width:6in;height:12pt" o:ole="">
            <v:imagedata r:id="rId6" o:title=""/>
          </v:shape>
          <o:OLEObject Type="Embed" ProgID="WPWin6.1" ShapeID="_x0000_i1026" DrawAspect="Content" ObjectID="_1643178245" r:id="rId8"/>
        </w:object>
      </w:r>
      <w:r>
        <w:t xml:space="preserve">  </w:t>
      </w:r>
    </w:p>
    <w:p w:rsidR="00785CF9" w:rsidRDefault="00785CF9" w:rsidP="00785CF9">
      <w:pPr>
        <w:pStyle w:val="bpuIntro"/>
      </w:pPr>
      <w:r>
        <w:t>INTRODUCED FEBRUARY 13, 2020</w:t>
      </w:r>
    </w:p>
    <w:p w:rsidR="00785CF9" w:rsidRDefault="00785CF9" w:rsidP="00785CF9">
      <w:pPr>
        <w:pStyle w:val="bpuIntro"/>
      </w:pPr>
    </w:p>
    <w:p w:rsidR="00785CF9" w:rsidRDefault="00785CF9" w:rsidP="00785CF9">
      <w:pPr>
        <w:pStyle w:val="bpuIntro"/>
        <w:sectPr w:rsidR="00785CF9" w:rsidSect="00785CF9">
          <w:headerReference w:type="even" r:id="rId9"/>
          <w:headerReference w:type="default" r:id="rId10"/>
          <w:pgSz w:w="12240" w:h="20160" w:code="5"/>
          <w:pgMar w:top="2160" w:right="1440" w:bottom="1440" w:left="1440" w:header="72" w:footer="720" w:gutter="0"/>
          <w:pgNumType w:start="1"/>
          <w:cols w:space="720"/>
          <w:docGrid w:linePitch="360"/>
        </w:sectPr>
      </w:pPr>
    </w:p>
    <w:p w:rsidR="00785CF9" w:rsidRDefault="00785CF9" w:rsidP="00785CF9">
      <w:pPr>
        <w:pStyle w:val="bpuIntro"/>
      </w:pPr>
    </w:p>
    <w:p w:rsidR="00785CF9" w:rsidRDefault="00785CF9" w:rsidP="00785CF9">
      <w:pPr>
        <w:pStyle w:val="bpuSponsor"/>
      </w:pPr>
      <w:r>
        <w:t>Sponsored by:</w:t>
      </w:r>
    </w:p>
    <w:p w:rsidR="00785CF9" w:rsidRDefault="00785CF9" w:rsidP="00785CF9">
      <w:pPr>
        <w:pStyle w:val="bpuSponsor"/>
      </w:pPr>
      <w:r>
        <w:t>Senator  SHIRLEY K. TURNER</w:t>
      </w:r>
    </w:p>
    <w:p w:rsidR="00785CF9" w:rsidRDefault="00785CF9" w:rsidP="00785CF9">
      <w:pPr>
        <w:pStyle w:val="bpuSponsor"/>
      </w:pPr>
      <w:r>
        <w:t>District 15 (Hunterdon and Mercer)</w:t>
      </w:r>
    </w:p>
    <w:p w:rsidR="00785CF9" w:rsidRDefault="00785CF9" w:rsidP="00785CF9">
      <w:pPr>
        <w:pStyle w:val="bpuSponsor"/>
      </w:pPr>
    </w:p>
    <w:p w:rsidR="00785CF9" w:rsidRDefault="00785CF9" w:rsidP="00785CF9">
      <w:pPr>
        <w:pStyle w:val="bpuSponsor"/>
      </w:pPr>
    </w:p>
    <w:p w:rsidR="00785CF9" w:rsidRDefault="00785CF9" w:rsidP="00785CF9">
      <w:pPr>
        <w:pStyle w:val="bpuSponsor"/>
      </w:pPr>
    </w:p>
    <w:p w:rsidR="00785CF9" w:rsidRDefault="00785CF9" w:rsidP="00785CF9">
      <w:pPr>
        <w:pStyle w:val="bpuSponsor"/>
      </w:pPr>
    </w:p>
    <w:p w:rsidR="00785CF9" w:rsidRDefault="00785CF9" w:rsidP="00785CF9">
      <w:pPr>
        <w:pStyle w:val="bpuSponsor"/>
      </w:pPr>
      <w:r>
        <w:t>SYNOPSIS</w:t>
      </w:r>
    </w:p>
    <w:p w:rsidR="00785CF9" w:rsidRDefault="00785CF9" w:rsidP="00785CF9">
      <w:pPr>
        <w:pStyle w:val="bpuNormText"/>
      </w:pPr>
      <w:r>
        <w:tab/>
        <w:t xml:space="preserve">Requires certain insurers disclose information concerning automobile replacement parts. </w:t>
      </w:r>
    </w:p>
    <w:p w:rsidR="00785CF9" w:rsidRDefault="00785CF9" w:rsidP="00785CF9">
      <w:pPr>
        <w:pStyle w:val="bpuNormText"/>
      </w:pPr>
    </w:p>
    <w:p w:rsidR="00785CF9" w:rsidRDefault="00785CF9" w:rsidP="00785CF9">
      <w:pPr>
        <w:pStyle w:val="bpuSponsor"/>
      </w:pPr>
      <w:r>
        <w:t xml:space="preserve">CURRENT VERSION OF TEXT </w:t>
      </w:r>
    </w:p>
    <w:p w:rsidR="00785CF9" w:rsidRDefault="00785CF9" w:rsidP="00785CF9">
      <w:pPr>
        <w:pStyle w:val="bpuNormText"/>
      </w:pPr>
      <w:r>
        <w:tab/>
        <w:t>As introduced.</w:t>
      </w:r>
    </w:p>
    <w:p w:rsidR="00785CF9" w:rsidRDefault="00785CF9" w:rsidP="00785C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CF9" w:rsidRDefault="00785CF9" w:rsidP="008916EC">
      <w:pPr>
        <w:pStyle w:val="FronterPage"/>
        <w:tabs>
          <w:tab w:val="clear" w:pos="720"/>
          <w:tab w:val="clear" w:pos="1440"/>
          <w:tab w:val="clear" w:pos="2160"/>
          <w:tab w:val="clear" w:pos="2880"/>
          <w:tab w:val="clear" w:pos="3600"/>
          <w:tab w:val="clear" w:pos="4320"/>
          <w:tab w:val="clear" w:pos="5040"/>
        </w:tabs>
        <w:sectPr w:rsidR="00785CF9" w:rsidSect="00785CF9">
          <w:type w:val="continuous"/>
          <w:pgSz w:w="12240" w:h="20160" w:code="5"/>
          <w:pgMar w:top="1440" w:right="2275" w:bottom="1440" w:left="2275" w:header="72" w:footer="720" w:gutter="0"/>
          <w:pgNumType w:start="1"/>
          <w:cols w:space="720"/>
          <w:docGrid w:linePitch="360"/>
        </w:sectPr>
      </w:pPr>
    </w:p>
    <w:p w:rsidR="00752D65" w:rsidRPr="00677316" w:rsidRDefault="00752D65" w:rsidP="00752D65">
      <w:pPr>
        <w:pStyle w:val="HangingAnAct"/>
        <w:rPr>
          <w:rStyle w:val="HangingAnActChar"/>
        </w:rPr>
      </w:pPr>
      <w:r w:rsidRPr="00752D65">
        <w:rPr>
          <w:rStyle w:val="BillHead"/>
        </w:rPr>
        <w:lastRenderedPageBreak/>
        <w:t>An Act</w:t>
      </w:r>
      <w:r w:rsidRPr="006B7FA7">
        <w:rPr>
          <w:rStyle w:val="HangingAnActChar"/>
        </w:rPr>
        <w:t xml:space="preserve"> </w:t>
      </w:r>
      <w:r>
        <w:rPr>
          <w:rStyle w:val="HangingAnActChar"/>
        </w:rPr>
        <w:t>requiring certain insurers to disclose information concerning automobile replacement parts and supplementing P.L.1972, c.70 (C.39:6A-1 et seq.).</w:t>
      </w:r>
    </w:p>
    <w:p w:rsidR="00752D65" w:rsidRPr="00D71D68" w:rsidRDefault="00752D65" w:rsidP="00752D65"/>
    <w:p w:rsidR="00752D65" w:rsidRPr="00AA7880" w:rsidRDefault="00752D65" w:rsidP="00752D65">
      <w:r>
        <w:tab/>
      </w:r>
      <w:r>
        <w:rPr>
          <w:rStyle w:val="BillHeading2"/>
        </w:rPr>
        <w:t xml:space="preserve">Be It Enacted </w:t>
      </w:r>
      <w:r>
        <w:rPr>
          <w:rStyle w:val="BillLanguage"/>
        </w:rPr>
        <w:t>by the Senate and General Assembly of the State of New Jersey:</w:t>
      </w:r>
    </w:p>
    <w:p w:rsidR="00752D65" w:rsidRPr="00D71D68" w:rsidRDefault="00752D65" w:rsidP="00752D65"/>
    <w:p w:rsidR="00752D65" w:rsidRDefault="00752D65" w:rsidP="00752D65">
      <w:pPr>
        <w:tabs>
          <w:tab w:val="clear" w:pos="1440"/>
          <w:tab w:val="left" w:pos="1170"/>
        </w:tabs>
      </w:pPr>
      <w:r>
        <w:tab/>
        <w:t>1.</w:t>
      </w:r>
      <w:r>
        <w:tab/>
        <w:t>a.</w:t>
      </w:r>
      <w:r w:rsidR="00AD6783">
        <w:t xml:space="preserve"> </w:t>
      </w:r>
      <w:r>
        <w:t>Every insurer writing private passenger automobile insurance in this State shall provide each insured at least annually, and each applicant upon receipt of initial application, with a written disclosure informing consumers that automobile leasing companies may require the use of original equipment manufacturer (OEM) replacement parts for automobile repairs and whether the collision and comprehensive coverage under the insured’s private passenger automobile insurance policy will reimburse the insured for 100 percent of the costs of OEM replacement parts, and if not, the amount or percentage of the costs that will be the responsibility of the insured if OEM replacement parts are used.  This disclosure shall be consistent with and contain the information deemed necessary by the Commissioner of Banking and Insurance as established by regulation, and may be included as part of the buyer’s guide required pursuant to section 17 of P.L.1983, c.362 (C.39:6A-23).</w:t>
      </w:r>
    </w:p>
    <w:p w:rsidR="00752D65" w:rsidRDefault="00752D65" w:rsidP="00752D65">
      <w:r>
        <w:tab/>
        <w:t>b.</w:t>
      </w:r>
      <w:r>
        <w:tab/>
      </w:r>
      <w:r w:rsidRPr="0042563B">
        <w:t>If the commissioner finds, after notice and hearing, that an insurer has a pattern and pract</w:t>
      </w:r>
      <w:r>
        <w:t>ice of failing to provide the written disclosure required by subsection a. of this</w:t>
      </w:r>
      <w:r w:rsidRPr="0042563B">
        <w:t xml:space="preserve"> section, the commissioner may, after notice and hearing, order the payment of a penalty not to exceed $1,000 for each offense. </w:t>
      </w:r>
      <w:r>
        <w:t xml:space="preserve"> </w:t>
      </w:r>
      <w:r w:rsidRPr="0042563B">
        <w:t xml:space="preserve">Each instance of </w:t>
      </w:r>
      <w:r>
        <w:t>a failure to provide the written disclosure to an insured or</w:t>
      </w:r>
      <w:r w:rsidRPr="0042563B">
        <w:t xml:space="preserve"> </w:t>
      </w:r>
      <w:r>
        <w:t>an applicant</w:t>
      </w:r>
      <w:r w:rsidRPr="0042563B">
        <w:t xml:space="preserve">, as the case may be, shall be a separate offense and subject to assessment of a separate penalty. </w:t>
      </w:r>
      <w:r>
        <w:t xml:space="preserve"> </w:t>
      </w:r>
      <w:r w:rsidRPr="0042563B">
        <w:t>Penalties assessed pursuant to this section shall be collected by the commissioner pursuant to the "Penalty Enforcement Law of 1999," P.L.1999, c.274 (C.2A:58-10 et seq.).</w:t>
      </w:r>
    </w:p>
    <w:p w:rsidR="00752D65" w:rsidRDefault="00752D65" w:rsidP="00752D65"/>
    <w:p w:rsidR="00752D65" w:rsidRDefault="00752D65" w:rsidP="00752D65">
      <w:r>
        <w:tab/>
        <w:t>2.</w:t>
      </w:r>
      <w:r>
        <w:tab/>
        <w:t>This act shall take effect on the 90th day next following enactment, except that the Commissioner of Banking and Insurance may take any anticipatory administrative action in advance as shall be necessary for the implementation of this act.</w:t>
      </w:r>
    </w:p>
    <w:p w:rsidR="00752D65" w:rsidRPr="00AA7880" w:rsidRDefault="00752D65" w:rsidP="00752D65"/>
    <w:p w:rsidR="00752D65" w:rsidRPr="00CE7BD8" w:rsidRDefault="00752D65" w:rsidP="00752D65"/>
    <w:p w:rsidR="00752D65" w:rsidRPr="00AA7880" w:rsidRDefault="00752D65" w:rsidP="00752D65">
      <w:pPr>
        <w:jc w:val="center"/>
      </w:pPr>
      <w:r w:rsidRPr="00D71D68">
        <w:t>STATEMENT</w:t>
      </w:r>
    </w:p>
    <w:p w:rsidR="00752D65" w:rsidRDefault="00752D65" w:rsidP="00752D65"/>
    <w:p w:rsidR="00752D65" w:rsidRDefault="00752D65" w:rsidP="00752D65">
      <w:r>
        <w:tab/>
        <w:t xml:space="preserve">This bill requires every insurer writing private passenger automobile insurance in this State to provide each insured at least annually, and each applicant upon receipt of initial application, with a written disclosure informing consumers that automobile leasing companies may require the use of original equipment manufacturer </w:t>
      </w:r>
      <w:r>
        <w:lastRenderedPageBreak/>
        <w:t>(OEM) replacement parts for automobile repairs and whether the collision and comprehensive coverage under the insured’s private passenger automobile insurance policy will reimburse the insured for 100 percent of the costs if OEM replacement parts are used, and if not, the amount or percentage of the costs that will be the responsibility of the insured if OEM replacement parts are used.</w:t>
      </w:r>
    </w:p>
    <w:p w:rsidR="00752D65" w:rsidRDefault="00752D65" w:rsidP="00752D65">
      <w:r>
        <w:tab/>
        <w:t xml:space="preserve">Automobile leasing companies often require the use of OEM replacement parts for any automobile repairs, since non-OEM replacement parts decrease the value of an automobile.  However, it is common practice for automobile insurance companies to discourage the use of more expensive OEM replacement parts by requiring the insured to pay for the difference in cost between the non-OEM replacement parts, which may be specified in an automobile repair estimate, and the OEM replacement parts that may be used by choice of the insured.  </w:t>
      </w:r>
    </w:p>
    <w:p w:rsidR="00752D65" w:rsidRDefault="00752D65" w:rsidP="00752D65">
      <w:r>
        <w:tab/>
        <w:t xml:space="preserve">This bill provides consumers with greater transparency and information concerning the use of OEM replacement parts for automobile repairs.  The bill authorizes the Commissioner of Banking and Insurance to impose penalties on an insurer who fails to provide the written disclosure required by the provisions of the bill. </w:t>
      </w:r>
    </w:p>
    <w:sectPr w:rsidR="00752D65" w:rsidSect="00785C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40B" w:rsidRDefault="0014540B">
      <w:r>
        <w:separator/>
      </w:r>
    </w:p>
  </w:endnote>
  <w:endnote w:type="continuationSeparator" w:id="0">
    <w:p w:rsidR="0014540B" w:rsidRDefault="00145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40B" w:rsidRDefault="0014540B">
      <w:r>
        <w:separator/>
      </w:r>
    </w:p>
  </w:footnote>
  <w:footnote w:type="continuationSeparator" w:id="0">
    <w:p w:rsidR="0014540B" w:rsidRDefault="00145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0E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CF9" w:rsidRDefault="00785CF9" w:rsidP="00785CF9">
    <w:pPr>
      <w:pStyle w:val="bpuHeadSpon"/>
    </w:pPr>
    <w:r w:rsidRPr="00785CF9">
      <w:rPr>
        <w:rStyle w:val="bpuHeadSponChar"/>
      </w:rPr>
      <w:t>S1378</w:t>
    </w:r>
    <w:r>
      <w:t xml:space="preserve"> TURNER</w:t>
    </w:r>
  </w:p>
  <w:p w:rsidR="00785CF9" w:rsidRDefault="00785CF9" w:rsidP="00785CF9">
    <w:pPr>
      <w:pStyle w:val="bpuHeadSpon"/>
    </w:pPr>
    <w:r>
      <w:fldChar w:fldCharType="begin"/>
    </w:r>
    <w:r>
      <w:instrText xml:space="preserve"> PAGE  \* MERGEFORMAT </w:instrText>
    </w:r>
    <w:r>
      <w:fldChar w:fldCharType="separate"/>
    </w:r>
    <w:r w:rsidR="000A0E9F">
      <w:rPr>
        <w:noProof/>
      </w:rPr>
      <w:t>3</w:t>
    </w:r>
    <w:r>
      <w:fldChar w:fldCharType="end"/>
    </w:r>
  </w:p>
  <w:p w:rsidR="00785CF9" w:rsidRDefault="00785CF9" w:rsidP="00785C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CF9" w:rsidRDefault="00785CF9" w:rsidP="00785CF9">
    <w:pPr>
      <w:pStyle w:val="bpuHeadSpon"/>
    </w:pPr>
    <w:r w:rsidRPr="00785CF9">
      <w:rPr>
        <w:rStyle w:val="bpuHeadSponChar"/>
      </w:rPr>
      <w:t>S1378</w:t>
    </w:r>
    <w:r>
      <w:t xml:space="preserve"> TURNER</w:t>
    </w:r>
  </w:p>
  <w:p w:rsidR="00785CF9" w:rsidRDefault="00785CF9" w:rsidP="00785CF9">
    <w:pPr>
      <w:pStyle w:val="bpuHeadSpon"/>
    </w:pPr>
    <w:r>
      <w:fldChar w:fldCharType="begin"/>
    </w:r>
    <w:r>
      <w:instrText xml:space="preserve"> PAGE  \* MERGEFORMAT </w:instrText>
    </w:r>
    <w:r>
      <w:fldChar w:fldCharType="separate"/>
    </w:r>
    <w:r w:rsidR="000A0E9F">
      <w:rPr>
        <w:noProof/>
      </w:rPr>
      <w:t>2</w:t>
    </w:r>
    <w:r>
      <w:fldChar w:fldCharType="end"/>
    </w:r>
  </w:p>
  <w:p w:rsidR="00785CF9" w:rsidRDefault="00785CF9" w:rsidP="00785C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40B"/>
    <w:rsid w:val="000051BD"/>
    <w:rsid w:val="000160A5"/>
    <w:rsid w:val="0002335B"/>
    <w:rsid w:val="0003549A"/>
    <w:rsid w:val="000367AE"/>
    <w:rsid w:val="00043B22"/>
    <w:rsid w:val="00054975"/>
    <w:rsid w:val="00057D20"/>
    <w:rsid w:val="0006197C"/>
    <w:rsid w:val="0006281F"/>
    <w:rsid w:val="00074E11"/>
    <w:rsid w:val="00080E89"/>
    <w:rsid w:val="0008141C"/>
    <w:rsid w:val="00094A55"/>
    <w:rsid w:val="000A0E9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40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3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FD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65"/>
    <w:rsid w:val="00752D79"/>
    <w:rsid w:val="00752E20"/>
    <w:rsid w:val="00756EDE"/>
    <w:rsid w:val="00781B4D"/>
    <w:rsid w:val="007824BF"/>
    <w:rsid w:val="00783B8D"/>
    <w:rsid w:val="00785CF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D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78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74B541-5DA8-49C3-98B8-C042FF57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5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608</Words>
  <Characters>3373</Characters>
  <Application>Microsoft Office Word</Application>
  <DocSecurity>0</DocSecurity>
  <Lines>93</Lines>
  <Paragraphs>20</Paragraphs>
  <ScaleCrop>false</ScaleCrop>
  <HeadingPairs>
    <vt:vector size="2" baseType="variant">
      <vt:variant>
        <vt:lpstr>Title</vt:lpstr>
      </vt:variant>
      <vt:variant>
        <vt:i4>1</vt:i4>
      </vt:variant>
    </vt:vector>
  </HeadingPairs>
  <TitlesOfParts>
    <vt:vector size="1" baseType="lpstr">
      <vt:lpstr>S1378</vt:lpstr>
    </vt:vector>
  </TitlesOfParts>
  <Manager>R225</Manager>
  <Company>NJ Office of Legislative Services</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S1378</dc:title>
  <dc:subject>Reintro of S2077 of 18-19</dc:subject>
  <dc:creator>Senator  TURNER</dc:creator>
  <cp:keywords>S1378|3|CL |53|0|53|F|0|</cp:keywords>
  <dc:description>INTRODUCED FEBRUARY 13, 2020</dc:description>
  <cp:lastModifiedBy>Siracusa, Nicole</cp:lastModifiedBy>
  <cp:revision>2</cp:revision>
  <cp:lastPrinted>2005-10-12T19:02:00Z</cp:lastPrinted>
  <dcterms:created xsi:type="dcterms:W3CDTF">2020-02-14T14:32:00Z</dcterms:created>
  <dcterms:modified xsi:type="dcterms:W3CDTF">2020-02-14T14:32:00Z</dcterms:modified>
  <cp:category>s.1: C.39:6A-23.2 to 2019, c.336_x000d_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