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1F797E" w:rsidP="00407C9E">
      <w:pPr>
        <w:pStyle w:val="NoteOrEstimate"/>
      </w:pPr>
      <w:r>
        <w:t>LEGISLATIVE FISCAL ESTIMATE</w:t>
      </w:r>
    </w:p>
    <w:p w:rsidR="003C5892" w:rsidRDefault="001F797E"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1767</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86445D" w:rsidP="0086445D">
      <w:pPr>
        <w:pStyle w:val="BillNo"/>
      </w:pPr>
      <w:r>
        <w:t>219th LEGISLATURE</w:t>
      </w:r>
    </w:p>
    <w:p w:rsidR="00353325" w:rsidRDefault="00353325" w:rsidP="00353325"/>
    <w:p w:rsidR="0086445D" w:rsidRDefault="0086445D" w:rsidP="0086445D">
      <w:pPr>
        <w:jc w:val="center"/>
      </w:pPr>
      <w:r>
        <w:t>DATED: AUGUST 3, 2020</w:t>
      </w:r>
    </w:p>
    <w:p w:rsidR="0086445D" w:rsidRDefault="0086445D" w:rsidP="00353325"/>
    <w:p w:rsidR="0086445D" w:rsidRDefault="0086445D"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951252" w:rsidP="00515AC5">
            <w:r w:rsidRPr="00951252">
              <w:t>Prohibits certain third-party property tax appeals.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7D51DC" w:rsidP="00F52347">
            <w:r>
              <w:t xml:space="preserve">Potential indeterminate decrease in local </w:t>
            </w:r>
            <w:r w:rsidR="00F52347">
              <w:t xml:space="preserve">and Tax Court of New Jersey </w:t>
            </w:r>
            <w:r>
              <w:t>revenues.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EC1E78" w:rsidP="00515AC5">
            <w:r>
              <w:t xml:space="preserve">Local </w:t>
            </w:r>
            <w:r w:rsidR="004F27C4">
              <w:t xml:space="preserve">government </w:t>
            </w:r>
            <w:r>
              <w:t>units</w:t>
            </w:r>
            <w:r w:rsidR="007D51DC">
              <w:t>, Tax Court of New Jersey</w:t>
            </w:r>
            <w:r>
              <w:t>.</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870"/>
        <w:gridCol w:w="1710"/>
        <w:gridCol w:w="3420"/>
        <w:gridCol w:w="1360"/>
        <w:gridCol w:w="15"/>
      </w:tblGrid>
      <w:tr w:rsidR="00C75246" w:rsidTr="001C26CB">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7D51DC">
        <w:trPr>
          <w:gridAfter w:val="1"/>
          <w:wAfter w:w="15" w:type="dxa"/>
          <w:trHeight w:val="410"/>
        </w:trPr>
        <w:tc>
          <w:tcPr>
            <w:tcW w:w="287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71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342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1360"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C75246" w:rsidTr="007D51DC">
        <w:trPr>
          <w:gridAfter w:val="1"/>
          <w:wAfter w:w="15" w:type="dxa"/>
          <w:trHeight w:val="410"/>
        </w:trPr>
        <w:tc>
          <w:tcPr>
            <w:tcW w:w="287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Local Revenue</w:t>
            </w:r>
          </w:p>
        </w:tc>
        <w:tc>
          <w:tcPr>
            <w:tcW w:w="171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3420" w:type="dxa"/>
            <w:tcBorders>
              <w:top w:val="nil"/>
              <w:left w:val="nil"/>
              <w:bottom w:val="nil"/>
              <w:right w:val="nil"/>
            </w:tcBorders>
            <w:tcMar>
              <w:bottom w:w="29" w:type="dxa"/>
            </w:tcMar>
            <w:vAlign w:val="bottom"/>
          </w:tcPr>
          <w:p w:rsidR="00C75246" w:rsidRDefault="007D51DC" w:rsidP="002D7863">
            <w:pPr>
              <w:tabs>
                <w:tab w:val="left" w:pos="360"/>
                <w:tab w:val="left" w:pos="720"/>
                <w:tab w:val="left" w:pos="1440"/>
                <w:tab w:val="left" w:pos="2160"/>
                <w:tab w:val="left" w:pos="2880"/>
                <w:tab w:val="left" w:pos="3600"/>
                <w:tab w:val="left" w:pos="4320"/>
                <w:tab w:val="left" w:pos="5040"/>
              </w:tabs>
              <w:jc w:val="center"/>
            </w:pPr>
            <w:r>
              <w:t>Potential Indeterminate Decrease</w:t>
            </w:r>
          </w:p>
        </w:tc>
        <w:tc>
          <w:tcPr>
            <w:tcW w:w="1360"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7D51DC" w:rsidTr="007D51DC">
        <w:trPr>
          <w:gridAfter w:val="1"/>
          <w:wAfter w:w="15" w:type="dxa"/>
          <w:trHeight w:val="410"/>
        </w:trPr>
        <w:tc>
          <w:tcPr>
            <w:tcW w:w="2870" w:type="dxa"/>
            <w:tcBorders>
              <w:top w:val="nil"/>
              <w:left w:val="single" w:sz="6" w:space="0" w:color="auto"/>
              <w:bottom w:val="nil"/>
              <w:right w:val="nil"/>
            </w:tcBorders>
            <w:tcMar>
              <w:bottom w:w="29" w:type="dxa"/>
            </w:tcMar>
            <w:vAlign w:val="bottom"/>
          </w:tcPr>
          <w:p w:rsidR="007D51DC" w:rsidRPr="00F11982" w:rsidRDefault="000C5B07" w:rsidP="007D51DC">
            <w:pPr>
              <w:tabs>
                <w:tab w:val="left" w:pos="360"/>
                <w:tab w:val="left" w:pos="720"/>
                <w:tab w:val="left" w:pos="1440"/>
                <w:tab w:val="left" w:pos="2160"/>
                <w:tab w:val="left" w:pos="2880"/>
                <w:tab w:val="left" w:pos="3600"/>
                <w:tab w:val="left" w:pos="4320"/>
                <w:tab w:val="left" w:pos="5040"/>
              </w:tabs>
              <w:rPr>
                <w:b/>
              </w:rPr>
            </w:pPr>
            <w:r>
              <w:rPr>
                <w:b/>
              </w:rPr>
              <w:t>State Revenue</w:t>
            </w:r>
          </w:p>
        </w:tc>
        <w:tc>
          <w:tcPr>
            <w:tcW w:w="1710" w:type="dxa"/>
            <w:tcBorders>
              <w:top w:val="nil"/>
              <w:left w:val="nil"/>
              <w:bottom w:val="nil"/>
              <w:right w:val="nil"/>
            </w:tcBorders>
            <w:tcMar>
              <w:bottom w:w="29" w:type="dxa"/>
            </w:tcMar>
            <w:vAlign w:val="bottom"/>
          </w:tcPr>
          <w:p w:rsidR="007D51DC" w:rsidRDefault="007D51DC" w:rsidP="002D7863">
            <w:pPr>
              <w:tabs>
                <w:tab w:val="left" w:pos="360"/>
                <w:tab w:val="left" w:pos="720"/>
                <w:tab w:val="left" w:pos="1440"/>
                <w:tab w:val="left" w:pos="2160"/>
                <w:tab w:val="left" w:pos="2880"/>
                <w:tab w:val="left" w:pos="3600"/>
                <w:tab w:val="left" w:pos="4320"/>
                <w:tab w:val="left" w:pos="5040"/>
              </w:tabs>
              <w:jc w:val="center"/>
            </w:pPr>
          </w:p>
        </w:tc>
        <w:tc>
          <w:tcPr>
            <w:tcW w:w="3420" w:type="dxa"/>
            <w:tcBorders>
              <w:top w:val="nil"/>
              <w:left w:val="nil"/>
              <w:bottom w:val="nil"/>
              <w:right w:val="nil"/>
            </w:tcBorders>
            <w:tcMar>
              <w:bottom w:w="29" w:type="dxa"/>
            </w:tcMar>
            <w:vAlign w:val="bottom"/>
          </w:tcPr>
          <w:p w:rsidR="007D51DC" w:rsidRDefault="007D51DC" w:rsidP="002D7863">
            <w:pPr>
              <w:tabs>
                <w:tab w:val="left" w:pos="360"/>
                <w:tab w:val="left" w:pos="720"/>
                <w:tab w:val="left" w:pos="1440"/>
                <w:tab w:val="left" w:pos="2160"/>
                <w:tab w:val="left" w:pos="2880"/>
                <w:tab w:val="left" w:pos="3600"/>
                <w:tab w:val="left" w:pos="4320"/>
                <w:tab w:val="left" w:pos="5040"/>
              </w:tabs>
              <w:jc w:val="center"/>
            </w:pPr>
            <w:r>
              <w:t>Potential Indeterminate Decrease</w:t>
            </w:r>
          </w:p>
        </w:tc>
        <w:tc>
          <w:tcPr>
            <w:tcW w:w="1360" w:type="dxa"/>
            <w:tcBorders>
              <w:top w:val="nil"/>
              <w:left w:val="nil"/>
              <w:bottom w:val="nil"/>
              <w:right w:val="single" w:sz="6" w:space="0" w:color="auto"/>
            </w:tcBorders>
            <w:tcMar>
              <w:bottom w:w="29" w:type="dxa"/>
            </w:tcMar>
            <w:vAlign w:val="bottom"/>
          </w:tcPr>
          <w:p w:rsidR="007D51DC" w:rsidRDefault="007D51DC" w:rsidP="002D7863">
            <w:pPr>
              <w:tabs>
                <w:tab w:val="left" w:pos="360"/>
                <w:tab w:val="left" w:pos="720"/>
                <w:tab w:val="left" w:pos="1440"/>
                <w:tab w:val="left" w:pos="2160"/>
                <w:tab w:val="left" w:pos="2880"/>
                <w:tab w:val="left" w:pos="3600"/>
                <w:tab w:val="left" w:pos="4320"/>
                <w:tab w:val="left" w:pos="5040"/>
              </w:tabs>
              <w:jc w:val="center"/>
            </w:pPr>
          </w:p>
        </w:tc>
      </w:tr>
      <w:tr w:rsidR="00C75246" w:rsidTr="001C26CB">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4F27C4" w:rsidRDefault="007D51DC" w:rsidP="0086445D">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estimates that the bill </w:t>
      </w:r>
      <w:r w:rsidR="00BC0B4A">
        <w:t>may</w:t>
      </w:r>
      <w:r>
        <w:t xml:space="preserve"> result in a potential indeterminate decrease in revenues for county boards of taxation, municipalities, and </w:t>
      </w:r>
      <w:r w:rsidR="00BC0B4A">
        <w:t>the Tax Court of New Jersey.</w:t>
      </w:r>
    </w:p>
    <w:p w:rsidR="0086445D" w:rsidRDefault="0086445D" w:rsidP="0086445D">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7E5EB3" w:rsidRDefault="004F27C4" w:rsidP="0086445D">
      <w:pPr>
        <w:pStyle w:val="StyleBulletedSymbolsymbol"/>
        <w:tabs>
          <w:tab w:val="left" w:pos="360"/>
          <w:tab w:val="left" w:pos="720"/>
          <w:tab w:val="left" w:pos="1440"/>
          <w:tab w:val="left" w:pos="2160"/>
          <w:tab w:val="left" w:pos="2880"/>
          <w:tab w:val="left" w:pos="3600"/>
          <w:tab w:val="left" w:pos="4320"/>
          <w:tab w:val="left" w:pos="5040"/>
        </w:tabs>
        <w:spacing w:after="0"/>
      </w:pPr>
      <w:r>
        <w:t>County boards of taxation and the Tax Court of New Jersey collect fees when considering property tax appeals filed by third parties, and municipalities</w:t>
      </w:r>
      <w:r w:rsidR="00F72D3D">
        <w:t xml:space="preserve"> may</w:t>
      </w:r>
      <w:r>
        <w:t xml:space="preserve"> recoup property tax revenue</w:t>
      </w:r>
      <w:r w:rsidR="0082202A">
        <w:t xml:space="preserve"> following</w:t>
      </w:r>
      <w:r>
        <w:t xml:space="preserve"> a</w:t>
      </w:r>
      <w:r w:rsidR="002F54F9">
        <w:t>n</w:t>
      </w:r>
      <w:r>
        <w:t xml:space="preserve"> appeal.</w:t>
      </w:r>
    </w:p>
    <w:p w:rsidR="0086445D" w:rsidRDefault="0086445D" w:rsidP="0086445D">
      <w:pPr>
        <w:pStyle w:val="ListParagraph"/>
      </w:pPr>
    </w:p>
    <w:p w:rsidR="00BC0B4A" w:rsidRDefault="00BC0B4A" w:rsidP="0086445D">
      <w:pPr>
        <w:pStyle w:val="StyleBulletedSymbolsymbol"/>
        <w:tabs>
          <w:tab w:val="left" w:pos="360"/>
          <w:tab w:val="left" w:pos="720"/>
          <w:tab w:val="left" w:pos="1440"/>
          <w:tab w:val="left" w:pos="2160"/>
          <w:tab w:val="left" w:pos="2880"/>
          <w:tab w:val="left" w:pos="3600"/>
          <w:tab w:val="left" w:pos="4320"/>
          <w:tab w:val="left" w:pos="5040"/>
        </w:tabs>
        <w:spacing w:after="0"/>
      </w:pPr>
      <w:r>
        <w:t>The OLS does not have information regarding the total number of third party a</w:t>
      </w:r>
      <w:r w:rsidR="004F27C4">
        <w:t xml:space="preserve">ppeals filed in any given year.  However, county boards of taxation and the Tax Court </w:t>
      </w:r>
      <w:r w:rsidR="00FA54D5">
        <w:t xml:space="preserve">of New Jersey </w:t>
      </w:r>
      <w:r>
        <w:t>would see a reduction in revenue if third p</w:t>
      </w:r>
      <w:r w:rsidR="004F27C4">
        <w:t xml:space="preserve">arty appeals are </w:t>
      </w:r>
      <w:r w:rsidR="005C180E">
        <w:t>prohibited.</w:t>
      </w:r>
    </w:p>
    <w:p w:rsidR="0086445D" w:rsidRDefault="0086445D" w:rsidP="0086445D">
      <w:pPr>
        <w:pStyle w:val="ListParagraph"/>
      </w:pPr>
    </w:p>
    <w:p w:rsidR="007E5EB3" w:rsidRDefault="00C82EB5" w:rsidP="0086445D">
      <w:pPr>
        <w:pStyle w:val="StyleBulletedSymbolsymbol"/>
        <w:tabs>
          <w:tab w:val="num" w:pos="360"/>
        </w:tabs>
        <w:spacing w:after="0"/>
      </w:pPr>
      <w:r>
        <w:t>Without additional information, the OLS cannot accurately predict whether the number of property tax appeals</w:t>
      </w:r>
      <w:r w:rsidR="009C3500">
        <w:t xml:space="preserve"> </w:t>
      </w:r>
      <w:r w:rsidR="00D86F7C">
        <w:t xml:space="preserve">will lessen, or if </w:t>
      </w:r>
      <w:r w:rsidR="009C3500">
        <w:t>municipalities</w:t>
      </w:r>
      <w:r w:rsidR="00D86F7C">
        <w:t xml:space="preserve"> will recoup additional property tax revenue</w:t>
      </w:r>
      <w:r w:rsidR="009C3500">
        <w:t>,</w:t>
      </w:r>
      <w:r>
        <w:t xml:space="preserve"> as a result of the bill.</w:t>
      </w:r>
    </w:p>
    <w:p w:rsidR="0086445D" w:rsidRDefault="0086445D" w:rsidP="0086445D">
      <w:pPr>
        <w:pStyle w:val="ListParagraph"/>
      </w:pPr>
    </w:p>
    <w:p w:rsidR="0086445D" w:rsidRDefault="0086445D" w:rsidP="0086445D">
      <w:pPr>
        <w:pStyle w:val="StyleBulletedSymbolsymbol"/>
        <w:numPr>
          <w:ilvl w:val="0"/>
          <w:numId w:val="0"/>
        </w:numPr>
        <w:spacing w:after="0"/>
        <w:ind w:left="360" w:hanging="360"/>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F72D3D" w:rsidRDefault="00255944" w:rsidP="00951252">
      <w:pPr>
        <w:tabs>
          <w:tab w:val="left" w:pos="360"/>
          <w:tab w:val="left" w:pos="720"/>
          <w:tab w:val="left" w:pos="1440"/>
          <w:tab w:val="left" w:pos="2160"/>
          <w:tab w:val="left" w:pos="2880"/>
          <w:tab w:val="left" w:pos="3600"/>
          <w:tab w:val="left" w:pos="4320"/>
          <w:tab w:val="left" w:pos="5040"/>
        </w:tabs>
      </w:pPr>
      <w:r w:rsidRPr="00255944">
        <w:tab/>
      </w:r>
      <w:r w:rsidR="00951252">
        <w:t xml:space="preserve">The bill would prohibit property taxpayers from filing property tax appeals with respect to the property of others. Under current law, property taxpayers may challenge the assessment or exempt </w:t>
      </w:r>
      <w:r w:rsidR="00951252">
        <w:lastRenderedPageBreak/>
        <w:t>status of their own property as well as that of any other property in their county. This bill would limit property taxpayers to filing property tax appeals concerning their own property. The bill would not disturb the ability of local governments to appeal the assessment or exempt status of any property in the county.</w:t>
      </w:r>
    </w:p>
    <w:p w:rsidR="00951252" w:rsidRDefault="00951252" w:rsidP="00951252">
      <w:pPr>
        <w:tabs>
          <w:tab w:val="left" w:pos="360"/>
          <w:tab w:val="left" w:pos="720"/>
          <w:tab w:val="left" w:pos="1440"/>
          <w:tab w:val="left" w:pos="2160"/>
          <w:tab w:val="left" w:pos="2880"/>
          <w:tab w:val="left" w:pos="3600"/>
          <w:tab w:val="left" w:pos="4320"/>
          <w:tab w:val="left" w:pos="5040"/>
        </w:tabs>
      </w:pPr>
      <w:r>
        <w:tab/>
        <w:t>The bill also prohibits a taxpayer or taxing district from appealing an assessment or exemption granted to another taxpayer arising from a financial agreement between the taxpayer and the taxing district in which the taxpayer’s property is located.</w:t>
      </w:r>
    </w:p>
    <w:p w:rsidR="00255944" w:rsidRDefault="00951252" w:rsidP="00951252">
      <w:pPr>
        <w:tabs>
          <w:tab w:val="left" w:pos="360"/>
          <w:tab w:val="left" w:pos="720"/>
          <w:tab w:val="left" w:pos="1440"/>
          <w:tab w:val="left" w:pos="2160"/>
          <w:tab w:val="left" w:pos="2880"/>
          <w:tab w:val="left" w:pos="3600"/>
          <w:tab w:val="left" w:pos="4320"/>
          <w:tab w:val="left" w:pos="5040"/>
        </w:tabs>
      </w:pPr>
      <w:r>
        <w:tab/>
        <w:t>The bill also would clarify that the process for challenging the exempt status of property is the same process for challenging the assessed valuation of property.</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951252"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FA54D5" w:rsidRDefault="00255944" w:rsidP="00FA54D5">
      <w:pPr>
        <w:tabs>
          <w:tab w:val="left" w:pos="360"/>
          <w:tab w:val="left" w:pos="720"/>
          <w:tab w:val="left" w:pos="1440"/>
          <w:tab w:val="left" w:pos="2160"/>
          <w:tab w:val="left" w:pos="2880"/>
          <w:tab w:val="left" w:pos="3600"/>
          <w:tab w:val="left" w:pos="4320"/>
          <w:tab w:val="left" w:pos="5040"/>
        </w:tabs>
      </w:pPr>
      <w:r>
        <w:tab/>
      </w:r>
      <w:r w:rsidR="00FA54D5">
        <w:t>The OLS estimates that the bill may result in a potential indeterminate decrease in revenues for county boards of taxation, municipalities, and the Tax Court of New Jersey.</w:t>
      </w:r>
    </w:p>
    <w:p w:rsidR="00FA54D5" w:rsidRDefault="00FA54D5" w:rsidP="00FA54D5">
      <w:pPr>
        <w:tabs>
          <w:tab w:val="left" w:pos="360"/>
          <w:tab w:val="left" w:pos="720"/>
          <w:tab w:val="left" w:pos="1440"/>
          <w:tab w:val="left" w:pos="2160"/>
          <w:tab w:val="left" w:pos="2880"/>
          <w:tab w:val="left" w:pos="3600"/>
          <w:tab w:val="left" w:pos="4320"/>
          <w:tab w:val="left" w:pos="5040"/>
        </w:tabs>
      </w:pPr>
      <w:r>
        <w:tab/>
        <w:t xml:space="preserve">County boards of taxation and the Tax Court of New Jersey collect fees when considering property tax appeals filed by third parties, and municipalities </w:t>
      </w:r>
      <w:r w:rsidR="0082202A">
        <w:t xml:space="preserve">may </w:t>
      </w:r>
      <w:r>
        <w:t xml:space="preserve">recoup </w:t>
      </w:r>
      <w:r w:rsidR="006B69C2">
        <w:t xml:space="preserve">the property tax revenue </w:t>
      </w:r>
      <w:r w:rsidR="0082202A">
        <w:t xml:space="preserve">following </w:t>
      </w:r>
      <w:r w:rsidR="006B69C2">
        <w:t xml:space="preserve">an </w:t>
      </w:r>
      <w:r>
        <w:t>appeal.</w:t>
      </w:r>
      <w:r w:rsidR="00671B29">
        <w:t xml:space="preserve">  If a </w:t>
      </w:r>
      <w:r w:rsidR="00671B29" w:rsidRPr="00671B29">
        <w:t xml:space="preserve">property's assessment is more than $1 million, or if the added or omitted assessment aggregate assessed valuation exceeds $750,000, </w:t>
      </w:r>
      <w:r w:rsidR="00671B29">
        <w:t>an</w:t>
      </w:r>
      <w:r w:rsidR="00671B29" w:rsidRPr="00671B29">
        <w:t xml:space="preserve"> appeal </w:t>
      </w:r>
      <w:r w:rsidR="00671B29">
        <w:t xml:space="preserve">can be filed </w:t>
      </w:r>
      <w:r w:rsidR="00671B29" w:rsidRPr="00671B29">
        <w:t>directly with the Tax Court of New Jersey.</w:t>
      </w:r>
    </w:p>
    <w:p w:rsidR="008A296F" w:rsidRDefault="00FA54D5" w:rsidP="00FA54D5">
      <w:pPr>
        <w:tabs>
          <w:tab w:val="left" w:pos="360"/>
          <w:tab w:val="left" w:pos="720"/>
          <w:tab w:val="left" w:pos="1440"/>
          <w:tab w:val="left" w:pos="2160"/>
          <w:tab w:val="left" w:pos="2880"/>
          <w:tab w:val="left" w:pos="3600"/>
          <w:tab w:val="left" w:pos="4320"/>
          <w:tab w:val="left" w:pos="5040"/>
        </w:tabs>
      </w:pPr>
      <w:r>
        <w:tab/>
        <w:t>The OLS does not have information regarding the total number of third party appeals filed in any given year.  However, county boards of taxation and the Tax Court of New Jersey would see a reduction in revenue if third party appeals are</w:t>
      </w:r>
      <w:r w:rsidR="008A296F">
        <w:t xml:space="preserve"> prohibited.</w:t>
      </w:r>
    </w:p>
    <w:p w:rsidR="00EF17BC" w:rsidRDefault="00FA54D5" w:rsidP="00FA54D5">
      <w:pPr>
        <w:tabs>
          <w:tab w:val="left" w:pos="360"/>
          <w:tab w:val="left" w:pos="720"/>
          <w:tab w:val="left" w:pos="1440"/>
          <w:tab w:val="left" w:pos="2160"/>
          <w:tab w:val="left" w:pos="2880"/>
          <w:tab w:val="left" w:pos="3600"/>
          <w:tab w:val="left" w:pos="4320"/>
          <w:tab w:val="left" w:pos="5040"/>
        </w:tabs>
      </w:pPr>
      <w:r>
        <w:tab/>
        <w:t xml:space="preserve">Municipalities </w:t>
      </w:r>
      <w:r w:rsidR="001C2906">
        <w:t xml:space="preserve">may </w:t>
      </w:r>
      <w:r>
        <w:t xml:space="preserve">receive property tax revenue upon property tax appeals, filed by a third party or otherwise.  </w:t>
      </w:r>
      <w:r w:rsidR="001C2906" w:rsidRPr="001C2906">
        <w:t>Without additional information, the OLS cannot accurately predict whether the number of property tax appeals will lessen, or if municipalities will recoup additional property tax revenue, as a result of the bill.</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951252" w:rsidP="00951252">
            <w:pPr>
              <w:pStyle w:val="10pointItalics"/>
              <w:rPr>
                <w:sz w:val="24"/>
              </w:rPr>
            </w:pPr>
            <w:bookmarkStart w:id="2" w:name="Section"/>
            <w:r>
              <w:t>Local Government</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010C44" w:rsidP="00EF17BC">
            <w:pPr>
              <w:pStyle w:val="10pointItalics"/>
            </w:pPr>
            <w:bookmarkStart w:id="3" w:name="UserFullName"/>
            <w:bookmarkEnd w:id="3"/>
            <w:r>
              <w:t xml:space="preserve">Benjamin </w:t>
            </w:r>
            <w:r w:rsidR="00951252">
              <w:t xml:space="preserve">A. </w:t>
            </w:r>
            <w:r>
              <w:t>Levy</w:t>
            </w:r>
          </w:p>
          <w:p w:rsidR="00EF17BC" w:rsidRDefault="00951252" w:rsidP="00951252">
            <w:pPr>
              <w:pStyle w:val="10pointItalics"/>
              <w:rPr>
                <w:sz w:val="24"/>
              </w:rPr>
            </w:pPr>
            <w:r>
              <w:t>Assistant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D226B6" w:rsidRDefault="00D226B6" w:rsidP="00EF17BC">
      <w:pPr>
        <w:spacing w:line="287" w:lineRule="atLeast"/>
      </w:pPr>
    </w:p>
    <w:p w:rsidR="00EF17BC" w:rsidRDefault="001F797E"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1F797E">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86445D">
      <w:headerReference w:type="default" r:id="rId7"/>
      <w:footerReference w:type="first" r:id="rId8"/>
      <w:pgSz w:w="12240" w:h="20160" w:code="5"/>
      <w:pgMar w:top="1440" w:right="1440" w:bottom="1440" w:left="1440" w:header="1440" w:footer="52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797E" w:rsidRDefault="001F797E">
      <w:r>
        <w:separator/>
      </w:r>
    </w:p>
  </w:endnote>
  <w:endnote w:type="continuationSeparator" w:id="0">
    <w:p w:rsidR="001F797E" w:rsidRDefault="001F79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2A4C18">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7960815"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797E" w:rsidRDefault="001F797E">
      <w:r>
        <w:separator/>
      </w:r>
    </w:p>
  </w:footnote>
  <w:footnote w:type="continuationSeparator" w:id="0">
    <w:p w:rsidR="001F797E" w:rsidRDefault="001F79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797E" w:rsidRDefault="001F797E" w:rsidP="001F797E">
    <w:pPr>
      <w:pStyle w:val="Header"/>
      <w:jc w:val="center"/>
    </w:pPr>
    <w:r>
      <w:t>F</w:t>
    </w:r>
    <w:r w:rsidR="0086445D">
      <w:t>E to S</w:t>
    </w:r>
    <w:r>
      <w:t xml:space="preserve">1767 </w:t>
    </w:r>
  </w:p>
  <w:p w:rsidR="001F797E" w:rsidRDefault="001F797E" w:rsidP="001F797E">
    <w:pPr>
      <w:pStyle w:val="Header"/>
      <w:jc w:val="center"/>
    </w:pPr>
    <w:r>
      <w:fldChar w:fldCharType="begin"/>
    </w:r>
    <w:r>
      <w:instrText xml:space="preserve"> PAGE  \* MERGEFORMAT </w:instrText>
    </w:r>
    <w:r>
      <w:fldChar w:fldCharType="separate"/>
    </w:r>
    <w:r w:rsidR="002A4C18">
      <w:rPr>
        <w:noProof/>
      </w:rPr>
      <w:t>2</w:t>
    </w:r>
    <w:r>
      <w:fldChar w:fldCharType="end"/>
    </w:r>
  </w:p>
  <w:p w:rsidR="001F797E" w:rsidRDefault="001F797E" w:rsidP="001F797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797E"/>
    <w:rsid w:val="00010C44"/>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C5B07"/>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75CAF"/>
    <w:rsid w:val="001907A1"/>
    <w:rsid w:val="00193C26"/>
    <w:rsid w:val="00194789"/>
    <w:rsid w:val="00197240"/>
    <w:rsid w:val="001B1D4B"/>
    <w:rsid w:val="001B2BA9"/>
    <w:rsid w:val="001C26CB"/>
    <w:rsid w:val="001C2906"/>
    <w:rsid w:val="001D0C90"/>
    <w:rsid w:val="001D3FD4"/>
    <w:rsid w:val="001F4F8B"/>
    <w:rsid w:val="001F797E"/>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4C18"/>
    <w:rsid w:val="002A5C0C"/>
    <w:rsid w:val="002D4307"/>
    <w:rsid w:val="002D7381"/>
    <w:rsid w:val="002D7863"/>
    <w:rsid w:val="002E3A30"/>
    <w:rsid w:val="002F54F9"/>
    <w:rsid w:val="002F5E01"/>
    <w:rsid w:val="00325D66"/>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3F374B"/>
    <w:rsid w:val="00406CE8"/>
    <w:rsid w:val="00407C9E"/>
    <w:rsid w:val="0041022E"/>
    <w:rsid w:val="004149CC"/>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27C4"/>
    <w:rsid w:val="004F585C"/>
    <w:rsid w:val="004F7F49"/>
    <w:rsid w:val="00510A23"/>
    <w:rsid w:val="0051514A"/>
    <w:rsid w:val="00515AC5"/>
    <w:rsid w:val="00520DC2"/>
    <w:rsid w:val="00536F40"/>
    <w:rsid w:val="005470F3"/>
    <w:rsid w:val="00570997"/>
    <w:rsid w:val="00577AA8"/>
    <w:rsid w:val="005850CE"/>
    <w:rsid w:val="00595129"/>
    <w:rsid w:val="005A6D23"/>
    <w:rsid w:val="005C180E"/>
    <w:rsid w:val="005C1947"/>
    <w:rsid w:val="005C1E9D"/>
    <w:rsid w:val="005E03E7"/>
    <w:rsid w:val="005E75AB"/>
    <w:rsid w:val="00601F73"/>
    <w:rsid w:val="00625D15"/>
    <w:rsid w:val="00651611"/>
    <w:rsid w:val="00653AE2"/>
    <w:rsid w:val="006671C7"/>
    <w:rsid w:val="00670B75"/>
    <w:rsid w:val="00671B29"/>
    <w:rsid w:val="006917CF"/>
    <w:rsid w:val="00692BD4"/>
    <w:rsid w:val="006B22F3"/>
    <w:rsid w:val="006B2FD5"/>
    <w:rsid w:val="006B5C2D"/>
    <w:rsid w:val="006B69C2"/>
    <w:rsid w:val="006B6C16"/>
    <w:rsid w:val="006D6F6C"/>
    <w:rsid w:val="006F239A"/>
    <w:rsid w:val="006F430F"/>
    <w:rsid w:val="006F505D"/>
    <w:rsid w:val="006F7203"/>
    <w:rsid w:val="00722AEF"/>
    <w:rsid w:val="00737A6C"/>
    <w:rsid w:val="00743F01"/>
    <w:rsid w:val="00744AE4"/>
    <w:rsid w:val="00757381"/>
    <w:rsid w:val="00763D60"/>
    <w:rsid w:val="007833B1"/>
    <w:rsid w:val="007920AC"/>
    <w:rsid w:val="007A0F7E"/>
    <w:rsid w:val="007A2BBA"/>
    <w:rsid w:val="007A42C5"/>
    <w:rsid w:val="007A65A1"/>
    <w:rsid w:val="007B1FCF"/>
    <w:rsid w:val="007B25AB"/>
    <w:rsid w:val="007C4620"/>
    <w:rsid w:val="007D51DC"/>
    <w:rsid w:val="007D791E"/>
    <w:rsid w:val="007E337B"/>
    <w:rsid w:val="007E5EB3"/>
    <w:rsid w:val="00804E41"/>
    <w:rsid w:val="00811BC0"/>
    <w:rsid w:val="0082202A"/>
    <w:rsid w:val="008231E8"/>
    <w:rsid w:val="008266B7"/>
    <w:rsid w:val="008338F3"/>
    <w:rsid w:val="00854B89"/>
    <w:rsid w:val="00855555"/>
    <w:rsid w:val="0086445D"/>
    <w:rsid w:val="00881EF3"/>
    <w:rsid w:val="00883E7C"/>
    <w:rsid w:val="00886261"/>
    <w:rsid w:val="00894971"/>
    <w:rsid w:val="008A296F"/>
    <w:rsid w:val="008C0341"/>
    <w:rsid w:val="008D5731"/>
    <w:rsid w:val="008E1349"/>
    <w:rsid w:val="00937A78"/>
    <w:rsid w:val="00947B1E"/>
    <w:rsid w:val="00951252"/>
    <w:rsid w:val="00953C08"/>
    <w:rsid w:val="00973C29"/>
    <w:rsid w:val="009863FC"/>
    <w:rsid w:val="009B14F4"/>
    <w:rsid w:val="009B1B0D"/>
    <w:rsid w:val="009B1C3D"/>
    <w:rsid w:val="009B32DD"/>
    <w:rsid w:val="009C005A"/>
    <w:rsid w:val="009C3500"/>
    <w:rsid w:val="009D4BC2"/>
    <w:rsid w:val="009D5E5F"/>
    <w:rsid w:val="009D62B4"/>
    <w:rsid w:val="009E1448"/>
    <w:rsid w:val="009E3E41"/>
    <w:rsid w:val="00A05A06"/>
    <w:rsid w:val="00A164F2"/>
    <w:rsid w:val="00A26FCF"/>
    <w:rsid w:val="00A31FA5"/>
    <w:rsid w:val="00A34F8C"/>
    <w:rsid w:val="00A359DA"/>
    <w:rsid w:val="00A37886"/>
    <w:rsid w:val="00A615B9"/>
    <w:rsid w:val="00A63176"/>
    <w:rsid w:val="00A70D0C"/>
    <w:rsid w:val="00A9794C"/>
    <w:rsid w:val="00AA73DF"/>
    <w:rsid w:val="00AB0440"/>
    <w:rsid w:val="00AC3FC5"/>
    <w:rsid w:val="00AD340B"/>
    <w:rsid w:val="00AE3966"/>
    <w:rsid w:val="00AF11C6"/>
    <w:rsid w:val="00B002D1"/>
    <w:rsid w:val="00B057F1"/>
    <w:rsid w:val="00B143A9"/>
    <w:rsid w:val="00B3737B"/>
    <w:rsid w:val="00B4569E"/>
    <w:rsid w:val="00B45879"/>
    <w:rsid w:val="00B551EB"/>
    <w:rsid w:val="00B55F3D"/>
    <w:rsid w:val="00B84AC8"/>
    <w:rsid w:val="00B90F8C"/>
    <w:rsid w:val="00B91C0B"/>
    <w:rsid w:val="00B97E24"/>
    <w:rsid w:val="00BA0BE6"/>
    <w:rsid w:val="00BA2122"/>
    <w:rsid w:val="00BA2F3A"/>
    <w:rsid w:val="00BC0B4A"/>
    <w:rsid w:val="00BF47F9"/>
    <w:rsid w:val="00C07688"/>
    <w:rsid w:val="00C21201"/>
    <w:rsid w:val="00C260AB"/>
    <w:rsid w:val="00C32933"/>
    <w:rsid w:val="00C3314D"/>
    <w:rsid w:val="00C656D4"/>
    <w:rsid w:val="00C75246"/>
    <w:rsid w:val="00C80B0B"/>
    <w:rsid w:val="00C82EB5"/>
    <w:rsid w:val="00C91EDF"/>
    <w:rsid w:val="00C97447"/>
    <w:rsid w:val="00CC6622"/>
    <w:rsid w:val="00D018FB"/>
    <w:rsid w:val="00D20F5D"/>
    <w:rsid w:val="00D226B6"/>
    <w:rsid w:val="00D376ED"/>
    <w:rsid w:val="00D40E4F"/>
    <w:rsid w:val="00D638D0"/>
    <w:rsid w:val="00D67A0A"/>
    <w:rsid w:val="00D734B9"/>
    <w:rsid w:val="00D762A6"/>
    <w:rsid w:val="00D762BF"/>
    <w:rsid w:val="00D84564"/>
    <w:rsid w:val="00D86F7C"/>
    <w:rsid w:val="00D958CF"/>
    <w:rsid w:val="00D968A7"/>
    <w:rsid w:val="00DC2149"/>
    <w:rsid w:val="00DC789F"/>
    <w:rsid w:val="00DD3C40"/>
    <w:rsid w:val="00DD7275"/>
    <w:rsid w:val="00DE1C6C"/>
    <w:rsid w:val="00DE47C2"/>
    <w:rsid w:val="00DE5037"/>
    <w:rsid w:val="00DF054C"/>
    <w:rsid w:val="00DF3B50"/>
    <w:rsid w:val="00DF65C1"/>
    <w:rsid w:val="00E008A4"/>
    <w:rsid w:val="00E042C5"/>
    <w:rsid w:val="00E06D7C"/>
    <w:rsid w:val="00E21963"/>
    <w:rsid w:val="00E22D9A"/>
    <w:rsid w:val="00E262A3"/>
    <w:rsid w:val="00E307BF"/>
    <w:rsid w:val="00E32D2F"/>
    <w:rsid w:val="00E51E95"/>
    <w:rsid w:val="00E5461B"/>
    <w:rsid w:val="00E708C9"/>
    <w:rsid w:val="00E74E35"/>
    <w:rsid w:val="00E75B93"/>
    <w:rsid w:val="00E86D2A"/>
    <w:rsid w:val="00E9123C"/>
    <w:rsid w:val="00E95800"/>
    <w:rsid w:val="00EB1C90"/>
    <w:rsid w:val="00EC1E78"/>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52347"/>
    <w:rsid w:val="00F64D56"/>
    <w:rsid w:val="00F72D3D"/>
    <w:rsid w:val="00F73621"/>
    <w:rsid w:val="00F82B11"/>
    <w:rsid w:val="00F873F0"/>
    <w:rsid w:val="00FA54D5"/>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E33DD2FC-9C94-4E9F-9B08-501968295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7B25A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B25AB"/>
    <w:rPr>
      <w:rFonts w:ascii="Segoe UI" w:hAnsi="Segoe UI" w:cs="Segoe UI"/>
      <w:sz w:val="18"/>
      <w:szCs w:val="18"/>
    </w:rPr>
  </w:style>
  <w:style w:type="paragraph" w:styleId="ListParagraph">
    <w:name w:val="List Paragraph"/>
    <w:basedOn w:val="Normal"/>
    <w:uiPriority w:val="34"/>
    <w:qFormat/>
    <w:rsid w:val="0086445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620</Words>
  <Characters>3354</Characters>
  <Application>Microsoft Office Word</Application>
  <DocSecurity>0</DocSecurity>
  <Lines>105</Lines>
  <Paragraphs>47</Paragraphs>
  <ScaleCrop>false</ScaleCrop>
  <HeadingPairs>
    <vt:vector size="2" baseType="variant">
      <vt:variant>
        <vt:lpstr>Title</vt:lpstr>
      </vt:variant>
      <vt:variant>
        <vt:i4>1</vt:i4>
      </vt:variant>
    </vt:vector>
  </HeadingPairs>
  <TitlesOfParts>
    <vt:vector size="1" baseType="lpstr">
      <vt:lpstr>S1767   FISCAL ESTIMATE</vt:lpstr>
    </vt:vector>
  </TitlesOfParts>
  <Manager>Benjamin Levy; R225</Manager>
  <Company>Office of Legislative Services</Company>
  <LinksUpToDate>false</LinksUpToDate>
  <CharactersWithSpaces>3949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S1767 FISCAL ESTIMATE</dc:title>
  <dc:creator>Senator SINGER</dc:creator>
  <cp:keywords>S1767|2|LG |317|115|115|!|0|</cp:keywords>
  <dc:description>Sent to Sponsor 7/29</dc:description>
  <cp:lastModifiedBy>Siracusa, Nicole</cp:lastModifiedBy>
  <cp:revision>2</cp:revision>
  <cp:lastPrinted>2020-07-28T17:41:00Z</cp:lastPrinted>
  <dcterms:created xsi:type="dcterms:W3CDTF">2020-08-03T15:53:00Z</dcterms:created>
  <dcterms:modified xsi:type="dcterms:W3CDTF">2020-08-03T15:53:00Z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