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4EF9" w:rsidP="00407C9E">
      <w:pPr>
        <w:pStyle w:val="NoteOrEstimate"/>
      </w:pPr>
      <w:r>
        <w:t>LEGISLATIVE FISCAL ESTIMATE</w:t>
      </w:r>
    </w:p>
    <w:p w:rsidR="003C5892" w:rsidRDefault="00E04EF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1958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F6335" w:rsidP="009F6335">
      <w:pPr>
        <w:pStyle w:val="BillNo"/>
      </w:pPr>
      <w:r>
        <w:t>219th LEGISLATURE</w:t>
      </w:r>
    </w:p>
    <w:p w:rsidR="00353325" w:rsidRDefault="00353325" w:rsidP="00353325"/>
    <w:p w:rsidR="009F6335" w:rsidRDefault="009F6335" w:rsidP="009F6335">
      <w:pPr>
        <w:jc w:val="center"/>
      </w:pPr>
      <w:r>
        <w:t>DATED: FEBRUARY 17, 2021</w:t>
      </w:r>
    </w:p>
    <w:p w:rsidR="009F6335" w:rsidRDefault="009F6335" w:rsidP="00353325"/>
    <w:p w:rsidR="009F6335" w:rsidRDefault="009F633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A6FEA" w:rsidP="00515AC5">
            <w:r>
              <w:t>The “New Jersey Jobs for New Jersey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E5803" w:rsidP="00145CCB">
            <w:r>
              <w:t>Annual r</w:t>
            </w:r>
            <w:r w:rsidR="00145CCB">
              <w:t>evenue decrease for the State General Fund and the Property Tax</w:t>
            </w:r>
            <w:r>
              <w:t xml:space="preserve"> </w:t>
            </w:r>
            <w:r w:rsidR="00145CCB">
              <w:t>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E14C7" w:rsidP="00515AC5">
            <w:r>
              <w:t xml:space="preserve">Department of Labor and Workforce Development; </w:t>
            </w:r>
            <w:r w:rsidR="00145CCB">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60"/>
        <w:gridCol w:w="2100"/>
        <w:gridCol w:w="2100"/>
        <w:gridCol w:w="2100"/>
        <w:gridCol w:w="15"/>
      </w:tblGrid>
      <w:tr w:rsidR="00C75246" w:rsidTr="0008717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B547D8" w:rsidTr="00950D0F">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B547D8" w:rsidRPr="00F11982" w:rsidRDefault="00B547D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00" w:type="dxa"/>
            <w:tcBorders>
              <w:top w:val="single" w:sz="6" w:space="0" w:color="auto"/>
              <w:left w:val="nil"/>
              <w:bottom w:val="single" w:sz="12" w:space="0" w:color="auto"/>
              <w:right w:val="single" w:sz="6" w:space="0" w:color="auto"/>
            </w:tcBorders>
            <w:shd w:val="pct20" w:color="auto" w:fill="auto"/>
            <w:vAlign w:val="bottom"/>
          </w:tcPr>
          <w:p w:rsidR="00B547D8" w:rsidRPr="00B547D8" w:rsidRDefault="00B547D8" w:rsidP="002D7863">
            <w:pPr>
              <w:tabs>
                <w:tab w:val="left" w:pos="360"/>
                <w:tab w:val="left" w:pos="720"/>
                <w:tab w:val="left" w:pos="1440"/>
                <w:tab w:val="left" w:pos="2160"/>
                <w:tab w:val="left" w:pos="2880"/>
                <w:tab w:val="left" w:pos="3600"/>
                <w:tab w:val="left" w:pos="4320"/>
                <w:tab w:val="left" w:pos="5040"/>
              </w:tabs>
              <w:jc w:val="center"/>
              <w:rPr>
                <w:b/>
                <w:u w:val="single"/>
              </w:rPr>
            </w:pPr>
            <w:r w:rsidRPr="00B547D8">
              <w:rPr>
                <w:b/>
                <w:u w:val="single"/>
              </w:rPr>
              <w:t>Year 1</w:t>
            </w:r>
          </w:p>
        </w:tc>
        <w:tc>
          <w:tcPr>
            <w:tcW w:w="2100" w:type="dxa"/>
            <w:tcBorders>
              <w:top w:val="single" w:sz="6" w:space="0" w:color="auto"/>
              <w:left w:val="nil"/>
              <w:bottom w:val="single" w:sz="12" w:space="0" w:color="auto"/>
              <w:right w:val="single" w:sz="6" w:space="0" w:color="auto"/>
            </w:tcBorders>
            <w:shd w:val="pct20" w:color="auto" w:fill="auto"/>
            <w:vAlign w:val="bottom"/>
          </w:tcPr>
          <w:p w:rsidR="00B547D8" w:rsidRPr="00B547D8" w:rsidRDefault="00B547D8" w:rsidP="002D7863">
            <w:pPr>
              <w:tabs>
                <w:tab w:val="left" w:pos="360"/>
                <w:tab w:val="left" w:pos="720"/>
                <w:tab w:val="left" w:pos="1440"/>
                <w:tab w:val="left" w:pos="2160"/>
                <w:tab w:val="left" w:pos="2880"/>
                <w:tab w:val="left" w:pos="3600"/>
                <w:tab w:val="left" w:pos="4320"/>
                <w:tab w:val="left" w:pos="5040"/>
              </w:tabs>
              <w:jc w:val="center"/>
              <w:rPr>
                <w:b/>
                <w:u w:val="single"/>
              </w:rPr>
            </w:pPr>
            <w:r w:rsidRPr="00B547D8">
              <w:rPr>
                <w:b/>
                <w:u w:val="single"/>
              </w:rPr>
              <w:t>Year 2</w:t>
            </w:r>
          </w:p>
        </w:tc>
        <w:tc>
          <w:tcPr>
            <w:tcW w:w="2100" w:type="dxa"/>
            <w:tcBorders>
              <w:top w:val="single" w:sz="6" w:space="0" w:color="auto"/>
              <w:left w:val="nil"/>
              <w:bottom w:val="single" w:sz="12" w:space="0" w:color="auto"/>
              <w:right w:val="single" w:sz="6" w:space="0" w:color="auto"/>
            </w:tcBorders>
            <w:shd w:val="pct20" w:color="auto" w:fill="auto"/>
            <w:vAlign w:val="bottom"/>
          </w:tcPr>
          <w:p w:rsidR="00B547D8" w:rsidRPr="00B547D8" w:rsidRDefault="00B547D8" w:rsidP="002D7863">
            <w:pPr>
              <w:tabs>
                <w:tab w:val="left" w:pos="360"/>
                <w:tab w:val="left" w:pos="720"/>
                <w:tab w:val="left" w:pos="1440"/>
                <w:tab w:val="left" w:pos="2160"/>
                <w:tab w:val="left" w:pos="2880"/>
                <w:tab w:val="left" w:pos="3600"/>
                <w:tab w:val="left" w:pos="4320"/>
                <w:tab w:val="left" w:pos="5040"/>
              </w:tabs>
              <w:jc w:val="center"/>
              <w:rPr>
                <w:b/>
                <w:u w:val="single"/>
              </w:rPr>
            </w:pPr>
            <w:r w:rsidRPr="00B547D8">
              <w:rPr>
                <w:b/>
                <w:u w:val="single"/>
              </w:rPr>
              <w:t>Year 3</w:t>
            </w:r>
          </w:p>
        </w:tc>
      </w:tr>
      <w:tr w:rsidR="00145CCB" w:rsidTr="0008717F">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145CCB" w:rsidRPr="00F11982" w:rsidRDefault="00145CCB"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CE5803">
              <w:rPr>
                <w:b/>
              </w:rPr>
              <w:t>Revenue Decrease</w:t>
            </w:r>
          </w:p>
        </w:tc>
        <w:tc>
          <w:tcPr>
            <w:tcW w:w="6300" w:type="dxa"/>
            <w:gridSpan w:val="3"/>
            <w:tcBorders>
              <w:top w:val="nil"/>
              <w:left w:val="nil"/>
              <w:bottom w:val="nil"/>
              <w:right w:val="single" w:sz="6" w:space="0" w:color="auto"/>
            </w:tcBorders>
            <w:tcMar>
              <w:bottom w:w="29" w:type="dxa"/>
            </w:tcMar>
            <w:vAlign w:val="bottom"/>
          </w:tcPr>
          <w:p w:rsidR="00145CCB" w:rsidRDefault="00CE580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8717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145CCB" w:rsidP="009F633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this bill may result in a significant but indeterminate decrease in revenue generated by the Corporation Business Tax (CBT) and the Gross Income Tax (GIT) allocated to the State General Fund and the Property Tax Relief Fund</w:t>
      </w:r>
      <w:r w:rsidR="00CE5803">
        <w:t>, respectively</w:t>
      </w:r>
      <w:r>
        <w:t xml:space="preserve">. </w:t>
      </w:r>
    </w:p>
    <w:p w:rsidR="009F6335" w:rsidRDefault="009F6335" w:rsidP="009F63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145CCB" w:rsidP="009F6335">
      <w:pPr>
        <w:pStyle w:val="StyleBulletedSymbolsymbol"/>
        <w:tabs>
          <w:tab w:val="left" w:pos="360"/>
          <w:tab w:val="left" w:pos="720"/>
          <w:tab w:val="left" w:pos="1440"/>
          <w:tab w:val="left" w:pos="2160"/>
          <w:tab w:val="left" w:pos="2880"/>
          <w:tab w:val="left" w:pos="3600"/>
          <w:tab w:val="left" w:pos="4320"/>
          <w:tab w:val="left" w:pos="5040"/>
        </w:tabs>
        <w:spacing w:after="0"/>
      </w:pPr>
      <w:r>
        <w:t>The OLS is unable to determinate the cost of the tax credit provided by the pro</w:t>
      </w:r>
      <w:r w:rsidR="00B877B8">
        <w:t xml:space="preserve">posed New Jobs for New Jersey program due to uncertainty in the number of </w:t>
      </w:r>
      <w:r w:rsidR="00CE5803">
        <w:t xml:space="preserve">eligible </w:t>
      </w:r>
      <w:r w:rsidR="00B877B8">
        <w:t>individuals who may be hired and the</w:t>
      </w:r>
      <w:r w:rsidR="004B69FB">
        <w:t>ir</w:t>
      </w:r>
      <w:r w:rsidR="00B877B8">
        <w:t xml:space="preserve"> wage</w:t>
      </w:r>
      <w:r w:rsidR="004B69FB">
        <w:t>s</w:t>
      </w:r>
      <w:r w:rsidR="00B877B8">
        <w:t xml:space="preserve"> and </w:t>
      </w:r>
      <w:r w:rsidR="004B69FB">
        <w:t xml:space="preserve">the </w:t>
      </w:r>
      <w:r w:rsidR="00B877B8">
        <w:t xml:space="preserve">tax liability of </w:t>
      </w:r>
      <w:r w:rsidR="00B77B1D">
        <w:t xml:space="preserve">their employers.  The OLS </w:t>
      </w:r>
      <w:r w:rsidR="00B877B8">
        <w:t>estimate</w:t>
      </w:r>
      <w:r w:rsidR="00B77B1D">
        <w:t>s</w:t>
      </w:r>
      <w:r w:rsidR="00B877B8">
        <w:t xml:space="preserve"> that the hiring of each qualified employee under the program may result in a</w:t>
      </w:r>
      <w:r w:rsidR="0008717F">
        <w:t>n average</w:t>
      </w:r>
      <w:r w:rsidR="00B877B8">
        <w:t xml:space="preserve"> tax credit for the employer</w:t>
      </w:r>
      <w:r w:rsidR="000A21F4">
        <w:t xml:space="preserve"> of between $</w:t>
      </w:r>
      <w:r w:rsidR="00220527">
        <w:t>3,042</w:t>
      </w:r>
      <w:r w:rsidR="000A21F4">
        <w:t xml:space="preserve"> and $12</w:t>
      </w:r>
      <w:r w:rsidR="00220527">
        <w:t>,547</w:t>
      </w:r>
      <w:r w:rsidR="00B877B8">
        <w:t xml:space="preserve"> annually per qualified employee</w:t>
      </w:r>
      <w:r w:rsidR="00456841">
        <w:t xml:space="preserve"> based on certain assumptions.</w:t>
      </w:r>
    </w:p>
    <w:p w:rsidR="009F6335" w:rsidRDefault="009F6335" w:rsidP="009F6335">
      <w:pPr>
        <w:pStyle w:val="ListParagraph"/>
      </w:pPr>
    </w:p>
    <w:p w:rsidR="009F6335" w:rsidRDefault="00220527" w:rsidP="009F6335">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if the employer’s application is approved for any of the tax years 2021, 2022, or 2023, the employer may continue to receive the tax credit for any of the four tax years following that tax year during which the employer meets the requirements of the bill.</w:t>
      </w:r>
      <w:r w:rsidR="00B547D8">
        <w:t xml:space="preserve">  The carryover provision of the tax credit and that it is refundable increases the likelihood that employers will take advantage of it and potentially increase the revenue loss to the State.</w:t>
      </w:r>
    </w:p>
    <w:p w:rsidR="0096268D" w:rsidRDefault="0096268D">
      <w:pPr>
        <w:spacing w:line="240" w:lineRule="auto"/>
        <w:jc w:val="left"/>
      </w:pPr>
    </w:p>
    <w:p w:rsidR="0096268D" w:rsidRDefault="0096268D" w:rsidP="0096268D">
      <w:pPr>
        <w:spacing w:line="240" w:lineRule="auto"/>
        <w:jc w:val="left"/>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1791C" w:rsidRDefault="001E14C7" w:rsidP="0091791C">
      <w:r>
        <w:t xml:space="preserve">      </w:t>
      </w:r>
      <w:r w:rsidR="0091791C">
        <w:t xml:space="preserve">This bill establishes </w:t>
      </w:r>
      <w:r w:rsidR="00CE5803">
        <w:t>the</w:t>
      </w:r>
      <w:r w:rsidR="0091791C">
        <w:t xml:space="preserve"> New Jobs for New Jersey tax credit program to be administered by the Commissioner of Labor and Workforce Development.  The purpose of the program is to provide </w:t>
      </w:r>
      <w:r w:rsidR="0091791C">
        <w:lastRenderedPageBreak/>
        <w:t>incentives to small private sector employers who increase their workforce by hiring unemployed workers.</w:t>
      </w:r>
    </w:p>
    <w:p w:rsidR="0091791C" w:rsidRDefault="001E14C7" w:rsidP="00B877B8">
      <w:r>
        <w:t xml:space="preserve">      </w:t>
      </w:r>
      <w:r w:rsidR="0091791C">
        <w:t>The bill makes an employer of 100 or fewer full-time employees eligible for a refundable tax credit agai</w:t>
      </w:r>
      <w:r w:rsidR="002110FE">
        <w:t>nst the CBT or the GIT</w:t>
      </w:r>
      <w:r w:rsidR="0091791C">
        <w:t xml:space="preserve">, whichever applies to the employer, for each eligible individual employed on a full-time basis during a tax year, if </w:t>
      </w:r>
      <w:r w:rsidR="00B877B8">
        <w:t>certain requirements are met.</w:t>
      </w:r>
    </w:p>
    <w:p w:rsidR="0091791C" w:rsidRDefault="001E14C7" w:rsidP="0091791C">
      <w:r>
        <w:t xml:space="preserve">      </w:t>
      </w:r>
      <w:r w:rsidR="0091791C">
        <w:t>The bill sets the amount of the refundable tax credit as the total amount of</w:t>
      </w:r>
      <w:r w:rsidR="0091791C" w:rsidRPr="007E4181">
        <w:t xml:space="preserve"> </w:t>
      </w:r>
      <w:r w:rsidR="0091791C">
        <w:t xml:space="preserve">the </w:t>
      </w:r>
      <w:r w:rsidR="0091791C" w:rsidRPr="007E4181">
        <w:t xml:space="preserve">employer payroll taxes </w:t>
      </w:r>
      <w:r w:rsidR="0091791C">
        <w:t>paid during that tax year by the employer with respect to that individual</w:t>
      </w:r>
      <w:r w:rsidR="00CE5803">
        <w:t xml:space="preserve">.  </w:t>
      </w:r>
      <w:r w:rsidR="0091791C">
        <w:t>Employer payroll taxes include the portion paid by employers of State unemployment, temporary disability, and workforce development and basic skills assessments, and federal Social Security, Medicare, and unemployment taxes.  The bill provides that the employer receives the tax credit only for the number of eligible individuals employed full-time during the tax year which does not exceed the net increase in the number of full-time employees employed full-time during the tax year compared with the average total number of full-time employees employed by the employer during the 12-month period immediately preceding April 1, 2021.</w:t>
      </w:r>
    </w:p>
    <w:p w:rsidR="0091791C" w:rsidRDefault="001E14C7" w:rsidP="0091791C">
      <w:r>
        <w:t xml:space="preserve">      </w:t>
      </w:r>
      <w:r w:rsidR="0091791C">
        <w:t>An employer may apply for and qualify for a tax credit under the bill with respect to tax years 2021, 2022, and 2023.  If the employer’s application is approved for any of those three years, the employer may continue to receive the tax credit for any of the four tax years following that tax year during which the employer meets the requirements of the bill.</w:t>
      </w:r>
    </w:p>
    <w:p w:rsidR="00255944" w:rsidRDefault="0091791C" w:rsidP="00B877B8">
      <w: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877B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235B4">
        <w:t>The OLS estimates that this bill</w:t>
      </w:r>
      <w:r w:rsidR="00A2492C">
        <w:t xml:space="preserve"> may</w:t>
      </w:r>
      <w:r w:rsidR="00F235B4">
        <w:t xml:space="preserve"> result in a significant but indeterminate decrease in revenue generated by the CBT and the GIT allocated to the State General Fund and the Property Tax Relief Fund</w:t>
      </w:r>
      <w:r w:rsidR="00CE5803">
        <w:t>, respectively</w:t>
      </w:r>
      <w:r w:rsidR="00F235B4">
        <w:t>.  The OLS cannot determine the exact cost of the bill due to uncertainty in the nu</w:t>
      </w:r>
      <w:r w:rsidR="00A2492C">
        <w:t xml:space="preserve">mber of </w:t>
      </w:r>
      <w:r w:rsidR="00CE5803">
        <w:t>eligible i</w:t>
      </w:r>
      <w:r w:rsidR="00A2492C">
        <w:t>ndividuals who may be h</w:t>
      </w:r>
      <w:r w:rsidR="00F235B4">
        <w:t>ired and the</w:t>
      </w:r>
      <w:r w:rsidR="00FE5E9E">
        <w:t>ir salaries</w:t>
      </w:r>
      <w:r w:rsidR="00F235B4">
        <w:t xml:space="preserve"> and </w:t>
      </w:r>
      <w:r w:rsidR="00FE5E9E">
        <w:t>the tax liability of each employer</w:t>
      </w:r>
      <w:r w:rsidR="00B77B1D">
        <w:t>.  The OLS</w:t>
      </w:r>
      <w:r w:rsidR="00F235B4">
        <w:t xml:space="preserve"> estimate</w:t>
      </w:r>
      <w:r w:rsidR="00B77B1D">
        <w:t>s</w:t>
      </w:r>
      <w:r w:rsidR="00F235B4">
        <w:t xml:space="preserve"> that the hiring of each qualified employee under this program may result in a</w:t>
      </w:r>
      <w:r w:rsidR="00420C68">
        <w:t>n average</w:t>
      </w:r>
      <w:r w:rsidR="00F235B4">
        <w:t xml:space="preserve"> tax credit for the employer</w:t>
      </w:r>
      <w:r w:rsidR="00220527">
        <w:t xml:space="preserve"> of between</w:t>
      </w:r>
      <w:r w:rsidR="000A21F4">
        <w:t xml:space="preserve"> $</w:t>
      </w:r>
      <w:r w:rsidR="00220527">
        <w:t>3,042</w:t>
      </w:r>
      <w:r w:rsidR="000A21F4">
        <w:t xml:space="preserve"> and $</w:t>
      </w:r>
      <w:r w:rsidR="00220527">
        <w:t>12,547</w:t>
      </w:r>
      <w:r w:rsidR="00F235B4">
        <w:t xml:space="preserve"> annually for up to four years per qualified employee</w:t>
      </w:r>
      <w:r w:rsidR="00FE5E9E">
        <w:t xml:space="preserve"> based on certain wage assumptions, applicable tax rates, and taxable wage base</w:t>
      </w:r>
      <w:r w:rsidR="00F235B4">
        <w:t xml:space="preserve">. </w:t>
      </w:r>
      <w:r w:rsidR="001D5D4F">
        <w:t xml:space="preserve"> The refundable nature of the tax credit and that it can be carried over for four subsequent years makes it more likely that that employers will utilize th</w:t>
      </w:r>
      <w:r w:rsidR="00B73BD8">
        <w:t>e tax benefit.</w:t>
      </w:r>
    </w:p>
    <w:p w:rsidR="00F235B4" w:rsidRDefault="00DF4A1E" w:rsidP="002D7863">
      <w:pPr>
        <w:tabs>
          <w:tab w:val="left" w:pos="360"/>
          <w:tab w:val="left" w:pos="720"/>
          <w:tab w:val="left" w:pos="1440"/>
          <w:tab w:val="left" w:pos="2160"/>
          <w:tab w:val="left" w:pos="2880"/>
          <w:tab w:val="left" w:pos="3600"/>
          <w:tab w:val="left" w:pos="4320"/>
          <w:tab w:val="left" w:pos="5040"/>
        </w:tabs>
      </w:pPr>
      <w:r>
        <w:tab/>
        <w:t>There will be</w:t>
      </w:r>
      <w:r w:rsidR="00F235B4">
        <w:t xml:space="preserve"> variation in</w:t>
      </w:r>
      <w:r w:rsidR="0073656E">
        <w:t xml:space="preserve"> the</w:t>
      </w:r>
      <w:r w:rsidR="004B69FB">
        <w:t xml:space="preserve"> amount of the</w:t>
      </w:r>
      <w:r w:rsidR="0073656E">
        <w:t xml:space="preserve"> tax credit</w:t>
      </w:r>
      <w:r w:rsidR="004B69FB">
        <w:t xml:space="preserve"> in a given year</w:t>
      </w:r>
      <w:r w:rsidR="002110FE">
        <w:t xml:space="preserve"> because the</w:t>
      </w:r>
      <w:r w:rsidR="00B77B1D">
        <w:t xml:space="preserve"> payroll</w:t>
      </w:r>
      <w:r w:rsidR="0073656E">
        <w:t xml:space="preserve"> </w:t>
      </w:r>
      <w:r w:rsidR="00F235B4">
        <w:t>taxes paid by the employe</w:t>
      </w:r>
      <w:r w:rsidR="00456841">
        <w:t xml:space="preserve">r that comprise the total credit </w:t>
      </w:r>
      <w:r w:rsidR="00F235B4">
        <w:t xml:space="preserve">are </w:t>
      </w:r>
      <w:r w:rsidR="00BC5336">
        <w:t>largely</w:t>
      </w:r>
      <w:r w:rsidR="00FE5E9E">
        <w:t xml:space="preserve"> </w:t>
      </w:r>
      <w:r w:rsidR="00F235B4">
        <w:t>wage dependent</w:t>
      </w:r>
      <w:r>
        <w:t xml:space="preserve"> as well as determined by the tax rate</w:t>
      </w:r>
      <w:r w:rsidR="004B69FB">
        <w:t>s</w:t>
      </w:r>
      <w:r>
        <w:t>, the taxable wage b</w:t>
      </w:r>
      <w:r w:rsidR="009266BC">
        <w:t>ase on which</w:t>
      </w:r>
      <w:r>
        <w:t xml:space="preserve"> rate</w:t>
      </w:r>
      <w:r w:rsidR="009266BC">
        <w:t>s are</w:t>
      </w:r>
      <w:r>
        <w:t xml:space="preserve"> applied, and change</w:t>
      </w:r>
      <w:r w:rsidR="004D26DE">
        <w:t>s</w:t>
      </w:r>
      <w:r>
        <w:t xml:space="preserve"> in tax policy.  H</w:t>
      </w:r>
      <w:r w:rsidR="004B69FB">
        <w:t>owever, in general,</w:t>
      </w:r>
      <w:r>
        <w:t xml:space="preserve"> t</w:t>
      </w:r>
      <w:r w:rsidR="00F235B4">
        <w:t xml:space="preserve">he higher </w:t>
      </w:r>
      <w:r>
        <w:t>the wage of the employ</w:t>
      </w:r>
      <w:r w:rsidR="004B69FB">
        <w:t xml:space="preserve">ee, the higher the </w:t>
      </w:r>
      <w:r w:rsidR="004D26DE">
        <w:t xml:space="preserve">employer </w:t>
      </w:r>
      <w:r w:rsidR="009266BC">
        <w:t xml:space="preserve">payroll </w:t>
      </w:r>
      <w:r w:rsidR="004B69FB">
        <w:t>tax paid.</w:t>
      </w:r>
      <w:r w:rsidR="0073656E">
        <w:t xml:space="preserve"> </w:t>
      </w:r>
      <w:r w:rsidR="00CE5803">
        <w:t xml:space="preserve"> </w:t>
      </w:r>
      <w:r w:rsidR="0073656E">
        <w:t>Therefore, the OLS notes that, in 2021</w:t>
      </w:r>
      <w:r w:rsidR="00F235B4">
        <w:t>, a low earner (minimum wage) woul</w:t>
      </w:r>
      <w:r w:rsidR="000A21F4">
        <w:t>d have a</w:t>
      </w:r>
      <w:r w:rsidR="002110FE">
        <w:t xml:space="preserve"> payroll</w:t>
      </w:r>
      <w:r w:rsidR="000A21F4">
        <w:t xml:space="preserve"> tax liability</w:t>
      </w:r>
      <w:r w:rsidR="002110FE">
        <w:t xml:space="preserve"> to the employer</w:t>
      </w:r>
      <w:r w:rsidR="000A21F4">
        <w:t xml:space="preserve"> of $</w:t>
      </w:r>
      <w:r w:rsidR="00220527">
        <w:t>2,829</w:t>
      </w:r>
      <w:r>
        <w:t xml:space="preserve"> while a</w:t>
      </w:r>
      <w:r w:rsidR="00F235B4">
        <w:t xml:space="preserve"> high earner, </w:t>
      </w:r>
      <w:r w:rsidR="0073656E">
        <w:t>mee</w:t>
      </w:r>
      <w:r w:rsidR="00B77B1D">
        <w:t>ting the maximum wage</w:t>
      </w:r>
      <w:r w:rsidR="0073656E">
        <w:t xml:space="preserve"> ($142,8</w:t>
      </w:r>
      <w:r w:rsidR="00F235B4">
        <w:t>00) to which section 3111 of the Federal Insurance Contributions Act applies, would</w:t>
      </w:r>
      <w:r w:rsidR="0073656E">
        <w:t xml:space="preserve"> have a tax liability of $1</w:t>
      </w:r>
      <w:r w:rsidR="000A21F4">
        <w:t>2</w:t>
      </w:r>
      <w:r w:rsidR="00220527">
        <w:t>,240</w:t>
      </w:r>
      <w:r w:rsidR="00F235B4">
        <w:t xml:space="preserve">.  The person earning the </w:t>
      </w:r>
      <w:r w:rsidR="00C52581">
        <w:t>m</w:t>
      </w:r>
      <w:r w:rsidR="00C10B51" w:rsidRPr="00C10B51">
        <w:t>edian weekly earnings</w:t>
      </w:r>
      <w:r w:rsidR="00C10B51">
        <w:t xml:space="preserve"> </w:t>
      </w:r>
      <w:r w:rsidR="00F235B4">
        <w:t>as determined by the</w:t>
      </w:r>
      <w:r w:rsidR="00C10B51">
        <w:t xml:space="preserve"> United States</w:t>
      </w:r>
      <w:r w:rsidR="00F235B4">
        <w:t xml:space="preserve"> </w:t>
      </w:r>
      <w:r w:rsidR="00CF5ADB">
        <w:t>Bureau of</w:t>
      </w:r>
      <w:r w:rsidR="00F235B4">
        <w:t xml:space="preserve"> Labor</w:t>
      </w:r>
      <w:r w:rsidR="00CF5ADB">
        <w:t xml:space="preserve"> Statistics—Current Population Survey</w:t>
      </w:r>
      <w:r w:rsidR="00C10B51">
        <w:t xml:space="preserve"> ($51</w:t>
      </w:r>
      <w:r w:rsidR="0073656E">
        <w:t>,</w:t>
      </w:r>
      <w:r w:rsidR="00C10B51">
        <w:t>168</w:t>
      </w:r>
      <w:r w:rsidR="00F235B4">
        <w:t>)</w:t>
      </w:r>
      <w:r w:rsidR="00B77B1D">
        <w:t>,</w:t>
      </w:r>
      <w:r w:rsidR="00F235B4">
        <w:t xml:space="preserve"> woul</w:t>
      </w:r>
      <w:r w:rsidR="00C10B51">
        <w:t>d have a tax liability of $5,</w:t>
      </w:r>
      <w:r w:rsidR="00220527">
        <w:t>230</w:t>
      </w:r>
      <w:r w:rsidR="00F235B4">
        <w:t>.  The OLS notes that each of these tax liabilities may increase each year due to the inflation of the associated wages.</w:t>
      </w:r>
    </w:p>
    <w:p w:rsidR="007449C1" w:rsidRDefault="0069695A" w:rsidP="002D7863">
      <w:pPr>
        <w:tabs>
          <w:tab w:val="left" w:pos="360"/>
          <w:tab w:val="left" w:pos="720"/>
          <w:tab w:val="left" w:pos="1440"/>
          <w:tab w:val="left" w:pos="2160"/>
          <w:tab w:val="left" w:pos="2880"/>
          <w:tab w:val="left" w:pos="3600"/>
          <w:tab w:val="left" w:pos="4320"/>
          <w:tab w:val="left" w:pos="5040"/>
        </w:tabs>
        <w:rPr>
          <w:color w:val="000000"/>
        </w:rPr>
      </w:pPr>
      <w:r>
        <w:lastRenderedPageBreak/>
        <w:t xml:space="preserve">      The OLS </w:t>
      </w:r>
      <w:r w:rsidR="00420C68">
        <w:t xml:space="preserve">also </w:t>
      </w:r>
      <w:r>
        <w:t>notes</w:t>
      </w:r>
      <w:r w:rsidR="00AE7BF8">
        <w:t xml:space="preserve"> that one caveat to this analysis is</w:t>
      </w:r>
      <w:r>
        <w:t xml:space="preserve"> that currently the </w:t>
      </w:r>
      <w:r w:rsidR="004B69FB">
        <w:t xml:space="preserve">employer </w:t>
      </w:r>
      <w:r w:rsidRPr="00E64E70">
        <w:t xml:space="preserve">unemployment </w:t>
      </w:r>
      <w:r w:rsidR="004B69FB">
        <w:t xml:space="preserve">insurance </w:t>
      </w:r>
      <w:r w:rsidR="00AE7BF8">
        <w:t xml:space="preserve">(UI) </w:t>
      </w:r>
      <w:r w:rsidRPr="00E64E70">
        <w:t xml:space="preserve">contribution rates for FY 2021 are set by column “B” of </w:t>
      </w:r>
      <w:r>
        <w:t xml:space="preserve">the Experience Rating Tax Table.  However, given that during COVID-19 the </w:t>
      </w:r>
      <w:r w:rsidR="00AE7BF8">
        <w:t xml:space="preserve">UI </w:t>
      </w:r>
      <w:r>
        <w:t>Fund borrowed from the federal government to keep the fund solvent, c</w:t>
      </w:r>
      <w:r>
        <w:rPr>
          <w:color w:val="000000"/>
        </w:rPr>
        <w:t>onsequently, the taxes on employers for FY 2022 would be the taxes</w:t>
      </w:r>
      <w:r>
        <w:t xml:space="preserve"> </w:t>
      </w:r>
      <w:r>
        <w:rPr>
          <w:color w:val="000000"/>
        </w:rPr>
        <w:t xml:space="preserve">indicated in column “E” plus the 10% surcharge currently provided, imposing the highest level of UI taxes provided by law.  </w:t>
      </w:r>
      <w:r w:rsidR="007449C1">
        <w:rPr>
          <w:color w:val="000000"/>
        </w:rPr>
        <w:t>However, recent la</w:t>
      </w:r>
      <w:r w:rsidR="00BC5336">
        <w:rPr>
          <w:color w:val="000000"/>
        </w:rPr>
        <w:t>w delayed</w:t>
      </w:r>
      <w:r w:rsidR="00AE7BF8">
        <w:rPr>
          <w:color w:val="000000"/>
        </w:rPr>
        <w:t xml:space="preserve"> increases in employer UI</w:t>
      </w:r>
      <w:r w:rsidR="007449C1">
        <w:rPr>
          <w:color w:val="000000"/>
        </w:rPr>
        <w:t xml:space="preserve"> taxes related to benefits paid during </w:t>
      </w:r>
      <w:r w:rsidR="007A6D43">
        <w:rPr>
          <w:color w:val="000000"/>
        </w:rPr>
        <w:t>COVID-</w:t>
      </w:r>
      <w:r w:rsidR="007449C1">
        <w:rPr>
          <w:color w:val="000000"/>
        </w:rPr>
        <w:t xml:space="preserve">19 pandemic state of emergency. </w:t>
      </w:r>
      <w:r w:rsidR="00220527">
        <w:rPr>
          <w:color w:val="000000"/>
        </w:rPr>
        <w:t xml:space="preserve"> </w:t>
      </w:r>
      <w:r w:rsidR="007449C1">
        <w:rPr>
          <w:color w:val="000000"/>
        </w:rPr>
        <w:t>So instead of increasing to the “E</w:t>
      </w:r>
      <w:r w:rsidR="00BC5336">
        <w:rPr>
          <w:color w:val="000000"/>
        </w:rPr>
        <w:t>”</w:t>
      </w:r>
      <w:r w:rsidR="007449C1">
        <w:rPr>
          <w:color w:val="000000"/>
        </w:rPr>
        <w:t xml:space="preserve"> pl</w:t>
      </w:r>
      <w:r w:rsidR="00B547D8">
        <w:rPr>
          <w:color w:val="000000"/>
        </w:rPr>
        <w:t xml:space="preserve">us the </w:t>
      </w:r>
      <w:r w:rsidR="002110FE">
        <w:rPr>
          <w:color w:val="000000"/>
        </w:rPr>
        <w:t>10% surcharge</w:t>
      </w:r>
      <w:r w:rsidR="00B547D8">
        <w:rPr>
          <w:color w:val="000000"/>
        </w:rPr>
        <w:t xml:space="preserve">, employer </w:t>
      </w:r>
      <w:r w:rsidR="002110FE">
        <w:rPr>
          <w:color w:val="000000"/>
        </w:rPr>
        <w:t>UI</w:t>
      </w:r>
      <w:r w:rsidR="00B547D8">
        <w:rPr>
          <w:color w:val="000000"/>
        </w:rPr>
        <w:t xml:space="preserve"> </w:t>
      </w:r>
      <w:r w:rsidR="007449C1">
        <w:rPr>
          <w:color w:val="000000"/>
        </w:rPr>
        <w:t>contributions for FY 2022 will be the rates set by column “C”, FY 2023 contributions will be set by Colum “D”, and FY 2024 will be set by column “E”.</w:t>
      </w:r>
      <w:r w:rsidR="004D26DE">
        <w:rPr>
          <w:color w:val="000000"/>
        </w:rPr>
        <w:t xml:space="preserve">  The result being less State </w:t>
      </w:r>
      <w:r w:rsidR="004413F2">
        <w:rPr>
          <w:color w:val="000000"/>
        </w:rPr>
        <w:t xml:space="preserve">CBT and GIT </w:t>
      </w:r>
      <w:r w:rsidR="004D26DE">
        <w:rPr>
          <w:color w:val="000000"/>
        </w:rPr>
        <w:t xml:space="preserve">revenue loss </w:t>
      </w:r>
      <w:r w:rsidR="002110FE">
        <w:rPr>
          <w:color w:val="000000"/>
        </w:rPr>
        <w:t xml:space="preserve">from the bill </w:t>
      </w:r>
      <w:r w:rsidR="004D26DE">
        <w:rPr>
          <w:color w:val="000000"/>
        </w:rPr>
        <w:t>in these years than otherwise would have been incurred.</w:t>
      </w:r>
      <w:r w:rsidR="007449C1">
        <w:rPr>
          <w:color w:val="000000"/>
        </w:rPr>
        <w:t xml:space="preserve">  Beginning in</w:t>
      </w:r>
      <w:r w:rsidR="00E00607">
        <w:rPr>
          <w:color w:val="000000"/>
        </w:rPr>
        <w:t xml:space="preserve"> FY 2025, employer contribution</w:t>
      </w:r>
      <w:r w:rsidR="007449C1">
        <w:rPr>
          <w:color w:val="000000"/>
        </w:rPr>
        <w:t xml:space="preserve"> rates will return to th</w:t>
      </w:r>
      <w:r w:rsidR="00FF4DEC">
        <w:rPr>
          <w:color w:val="000000"/>
        </w:rPr>
        <w:t>e</w:t>
      </w:r>
      <w:r w:rsidR="007449C1">
        <w:rPr>
          <w:color w:val="000000"/>
        </w:rPr>
        <w:t>ir sta</w:t>
      </w:r>
      <w:r w:rsidR="00FF4DEC">
        <w:rPr>
          <w:color w:val="000000"/>
        </w:rPr>
        <w:t>tutory levels and remain in place</w:t>
      </w:r>
      <w:r w:rsidR="007449C1">
        <w:rPr>
          <w:color w:val="000000"/>
        </w:rPr>
        <w:t xml:space="preserve"> until the </w:t>
      </w:r>
      <w:r w:rsidR="00FF4DEC">
        <w:rPr>
          <w:color w:val="000000"/>
        </w:rPr>
        <w:t>Unemployment Compensation Fund is replenished and federal loans are repaid.</w:t>
      </w:r>
    </w:p>
    <w:p w:rsidR="0069695A" w:rsidRDefault="00FF4DEC" w:rsidP="002D7863">
      <w:pPr>
        <w:tabs>
          <w:tab w:val="left" w:pos="360"/>
          <w:tab w:val="left" w:pos="720"/>
          <w:tab w:val="left" w:pos="1440"/>
          <w:tab w:val="left" w:pos="2160"/>
          <w:tab w:val="left" w:pos="2880"/>
          <w:tab w:val="left" w:pos="3600"/>
          <w:tab w:val="left" w:pos="4320"/>
          <w:tab w:val="left" w:pos="5040"/>
        </w:tabs>
      </w:pPr>
      <w:r>
        <w:rPr>
          <w:color w:val="000000"/>
        </w:rPr>
        <w:t xml:space="preserve">     </w:t>
      </w:r>
      <w:r w:rsidR="0069695A">
        <w:rPr>
          <w:color w:val="000000"/>
        </w:rPr>
        <w:t xml:space="preserve">While the OLS </w:t>
      </w:r>
      <w:r w:rsidR="004413F2">
        <w:rPr>
          <w:color w:val="000000"/>
        </w:rPr>
        <w:t>cannot project the</w:t>
      </w:r>
      <w:r w:rsidR="0069695A">
        <w:rPr>
          <w:color w:val="000000"/>
        </w:rPr>
        <w:t xml:space="preserve"> </w:t>
      </w:r>
      <w:r w:rsidR="004413F2">
        <w:rPr>
          <w:color w:val="000000"/>
        </w:rPr>
        <w:t xml:space="preserve">UI </w:t>
      </w:r>
      <w:r w:rsidR="0069695A">
        <w:rPr>
          <w:color w:val="000000"/>
        </w:rPr>
        <w:t>tax rate</w:t>
      </w:r>
      <w:r w:rsidR="005B6370">
        <w:rPr>
          <w:color w:val="000000"/>
        </w:rPr>
        <w:t xml:space="preserve"> paid by </w:t>
      </w:r>
      <w:r w:rsidR="004413F2">
        <w:rPr>
          <w:color w:val="000000"/>
        </w:rPr>
        <w:t xml:space="preserve">all individual </w:t>
      </w:r>
      <w:r w:rsidR="005B6370">
        <w:rPr>
          <w:color w:val="000000"/>
        </w:rPr>
        <w:t>employers</w:t>
      </w:r>
      <w:r w:rsidR="0069695A">
        <w:rPr>
          <w:color w:val="000000"/>
        </w:rPr>
        <w:t xml:space="preserve"> for FY 2022</w:t>
      </w:r>
      <w:r w:rsidR="007A6D43">
        <w:rPr>
          <w:color w:val="000000"/>
        </w:rPr>
        <w:t xml:space="preserve"> or</w:t>
      </w:r>
      <w:r>
        <w:rPr>
          <w:color w:val="000000"/>
        </w:rPr>
        <w:t xml:space="preserve"> </w:t>
      </w:r>
      <w:r w:rsidR="00420C68">
        <w:rPr>
          <w:color w:val="000000"/>
        </w:rPr>
        <w:t xml:space="preserve">for </w:t>
      </w:r>
      <w:r>
        <w:rPr>
          <w:color w:val="000000"/>
        </w:rPr>
        <w:t>subsequent years</w:t>
      </w:r>
      <w:r w:rsidR="0069695A">
        <w:rPr>
          <w:color w:val="000000"/>
        </w:rPr>
        <w:t xml:space="preserve">, for purposes of illustration, it can be reasonably assumed that the average </w:t>
      </w:r>
      <w:r w:rsidR="00AE7BF8">
        <w:rPr>
          <w:color w:val="000000"/>
        </w:rPr>
        <w:t xml:space="preserve">employer UI tax </w:t>
      </w:r>
      <w:r w:rsidR="0069695A">
        <w:rPr>
          <w:color w:val="000000"/>
        </w:rPr>
        <w:t>rate would fa</w:t>
      </w:r>
      <w:r>
        <w:rPr>
          <w:color w:val="000000"/>
        </w:rPr>
        <w:t>ll near the midpoint tax rate between</w:t>
      </w:r>
      <w:r w:rsidR="0069695A">
        <w:rPr>
          <w:color w:val="000000"/>
        </w:rPr>
        <w:t xml:space="preserve"> the</w:t>
      </w:r>
      <w:r>
        <w:rPr>
          <w:color w:val="000000"/>
        </w:rPr>
        <w:t xml:space="preserve"> “C”</w:t>
      </w:r>
      <w:r w:rsidR="0069695A">
        <w:rPr>
          <w:color w:val="000000"/>
        </w:rPr>
        <w:t xml:space="preserve"> </w:t>
      </w:r>
      <w:r>
        <w:rPr>
          <w:color w:val="000000"/>
        </w:rPr>
        <w:t>and “E”</w:t>
      </w:r>
      <w:r w:rsidR="005B6370">
        <w:rPr>
          <w:color w:val="000000"/>
        </w:rPr>
        <w:t xml:space="preserve"> column</w:t>
      </w:r>
      <w:r w:rsidR="002110FE">
        <w:rPr>
          <w:color w:val="000000"/>
        </w:rPr>
        <w:t>s</w:t>
      </w:r>
      <w:r>
        <w:rPr>
          <w:color w:val="000000"/>
        </w:rPr>
        <w:t xml:space="preserve">, with </w:t>
      </w:r>
      <w:r w:rsidR="004413F2">
        <w:rPr>
          <w:color w:val="000000"/>
        </w:rPr>
        <w:t xml:space="preserve">CBT and GIT revenue </w:t>
      </w:r>
      <w:r>
        <w:rPr>
          <w:color w:val="000000"/>
        </w:rPr>
        <w:t>losses increasing over time because of the higher employer</w:t>
      </w:r>
      <w:r w:rsidR="002110FE">
        <w:rPr>
          <w:color w:val="000000"/>
        </w:rPr>
        <w:t xml:space="preserve"> UI</w:t>
      </w:r>
      <w:r>
        <w:rPr>
          <w:color w:val="000000"/>
        </w:rPr>
        <w:t xml:space="preserve"> taxes paid.</w:t>
      </w:r>
      <w:r w:rsidR="007A6D43">
        <w:rPr>
          <w:color w:val="000000"/>
        </w:rPr>
        <w:t xml:space="preserve">  </w:t>
      </w:r>
      <w:r w:rsidR="007A6D43">
        <w:t xml:space="preserve">Therefore, </w:t>
      </w:r>
      <w:r w:rsidR="00E00607">
        <w:t xml:space="preserve">the </w:t>
      </w:r>
      <w:r w:rsidR="007A6D43">
        <w:t>OLS estimates that the hiring of each qualified employee under this program</w:t>
      </w:r>
      <w:r w:rsidR="00AE7BF8">
        <w:t>,</w:t>
      </w:r>
      <w:r w:rsidR="004413F2">
        <w:t xml:space="preserve"> inclusive of this assumption on</w:t>
      </w:r>
      <w:r w:rsidR="00AE7BF8">
        <w:t xml:space="preserve"> the employer UI tax rate,</w:t>
      </w:r>
      <w:r w:rsidR="007A6D43">
        <w:t xml:space="preserve"> may result in an average tax credit for the employer</w:t>
      </w:r>
      <w:r w:rsidR="005B6370">
        <w:t xml:space="preserve"> of between</w:t>
      </w:r>
      <w:r w:rsidR="00E00607">
        <w:t xml:space="preserve"> $3,042 and $12,547</w:t>
      </w:r>
      <w:r w:rsidR="007A6D43">
        <w:t xml:space="preserve"> annually </w:t>
      </w:r>
      <w:r w:rsidR="00D5287A">
        <w:t>per qualified employee based on the s</w:t>
      </w:r>
      <w:r w:rsidR="00DF4A1E">
        <w:t xml:space="preserve">ame salary assumptions as above as well as </w:t>
      </w:r>
      <w:r w:rsidR="004413F2">
        <w:t xml:space="preserve">holding steady </w:t>
      </w:r>
      <w:r w:rsidR="002110FE">
        <w:t xml:space="preserve">all other </w:t>
      </w:r>
      <w:r w:rsidR="00DF4A1E">
        <w:t xml:space="preserve">current employer </w:t>
      </w:r>
      <w:r w:rsidR="00AE7BF8">
        <w:t xml:space="preserve">payroll </w:t>
      </w:r>
      <w:r w:rsidR="00DF4A1E">
        <w:t>tax rates</w:t>
      </w:r>
      <w:r w:rsidR="00AE7BF8">
        <w:t xml:space="preserve"> </w:t>
      </w:r>
      <w:r w:rsidR="00DF4A1E">
        <w:t>and taxable wage bases.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1791C" w:rsidP="0091791C">
            <w:pPr>
              <w:pStyle w:val="10pointItalics"/>
              <w:rPr>
                <w:sz w:val="24"/>
              </w:rPr>
            </w:pPr>
            <w:bookmarkStart w:id="2" w:name="Section"/>
            <w:r>
              <w:t>Commerce, Labor and Industry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1791C" w:rsidP="00EF17BC">
            <w:pPr>
              <w:pStyle w:val="10pointItalics"/>
            </w:pPr>
            <w:bookmarkStart w:id="3" w:name="UserFullName"/>
            <w:bookmarkEnd w:id="3"/>
            <w:r>
              <w:t>Juan C. Rodriguez</w:t>
            </w:r>
          </w:p>
          <w:p w:rsidR="00EF17BC" w:rsidRDefault="0091791C" w:rsidP="0091791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F6335" w:rsidRDefault="009F6335" w:rsidP="00EF17BC">
      <w:pPr>
        <w:spacing w:line="287" w:lineRule="atLeast"/>
      </w:pPr>
    </w:p>
    <w:p w:rsidR="00EF17BC" w:rsidRDefault="00E04EF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4EF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156" w:rsidRDefault="000F1156">
      <w:r>
        <w:separator/>
      </w:r>
    </w:p>
  </w:endnote>
  <w:endnote w:type="continuationSeparator" w:id="0">
    <w:p w:rsidR="000F1156" w:rsidRDefault="000F1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41F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0613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156" w:rsidRDefault="000F1156">
      <w:r>
        <w:separator/>
      </w:r>
    </w:p>
  </w:footnote>
  <w:footnote w:type="continuationSeparator" w:id="0">
    <w:p w:rsidR="000F1156" w:rsidRDefault="000F1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EF9" w:rsidRDefault="00E04EF9" w:rsidP="00E04EF9">
    <w:pPr>
      <w:pStyle w:val="Header"/>
      <w:jc w:val="center"/>
    </w:pPr>
    <w:r>
      <w:t>F</w:t>
    </w:r>
    <w:r w:rsidR="009F6335">
      <w:t>E to S</w:t>
    </w:r>
    <w:r>
      <w:t xml:space="preserve">1958 </w:t>
    </w:r>
  </w:p>
  <w:p w:rsidR="00E04EF9" w:rsidRDefault="00E04EF9" w:rsidP="00E04EF9">
    <w:pPr>
      <w:pStyle w:val="Header"/>
      <w:jc w:val="center"/>
    </w:pPr>
    <w:r>
      <w:fldChar w:fldCharType="begin"/>
    </w:r>
    <w:r>
      <w:instrText xml:space="preserve"> PAGE  \* MERGEFORMAT </w:instrText>
    </w:r>
    <w:r>
      <w:fldChar w:fldCharType="separate"/>
    </w:r>
    <w:r w:rsidR="00D41F95">
      <w:rPr>
        <w:noProof/>
      </w:rPr>
      <w:t>3</w:t>
    </w:r>
    <w:r>
      <w:fldChar w:fldCharType="end"/>
    </w:r>
  </w:p>
  <w:p w:rsidR="00E04EF9" w:rsidRDefault="00E04EF9" w:rsidP="00E04E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F9"/>
    <w:rsid w:val="00011EDD"/>
    <w:rsid w:val="00013973"/>
    <w:rsid w:val="000333DF"/>
    <w:rsid w:val="00036860"/>
    <w:rsid w:val="00042B0B"/>
    <w:rsid w:val="000629F9"/>
    <w:rsid w:val="000701B0"/>
    <w:rsid w:val="00070F62"/>
    <w:rsid w:val="000820F8"/>
    <w:rsid w:val="00082389"/>
    <w:rsid w:val="0008691D"/>
    <w:rsid w:val="0008717F"/>
    <w:rsid w:val="00095290"/>
    <w:rsid w:val="000A162F"/>
    <w:rsid w:val="000A16EC"/>
    <w:rsid w:val="000A21F4"/>
    <w:rsid w:val="000A6FEA"/>
    <w:rsid w:val="000B1CCB"/>
    <w:rsid w:val="000C074D"/>
    <w:rsid w:val="000C50EA"/>
    <w:rsid w:val="000E08DD"/>
    <w:rsid w:val="000E17DB"/>
    <w:rsid w:val="000E7987"/>
    <w:rsid w:val="000F0A12"/>
    <w:rsid w:val="000F1156"/>
    <w:rsid w:val="000F231D"/>
    <w:rsid w:val="000F278B"/>
    <w:rsid w:val="000F2B57"/>
    <w:rsid w:val="001106B5"/>
    <w:rsid w:val="001140EA"/>
    <w:rsid w:val="00114591"/>
    <w:rsid w:val="00115411"/>
    <w:rsid w:val="001223E7"/>
    <w:rsid w:val="00125D26"/>
    <w:rsid w:val="00142AE8"/>
    <w:rsid w:val="00145CCB"/>
    <w:rsid w:val="00145CE4"/>
    <w:rsid w:val="00155AF8"/>
    <w:rsid w:val="00157AED"/>
    <w:rsid w:val="00172CF5"/>
    <w:rsid w:val="001907A1"/>
    <w:rsid w:val="0019192E"/>
    <w:rsid w:val="00193C26"/>
    <w:rsid w:val="00194789"/>
    <w:rsid w:val="00197240"/>
    <w:rsid w:val="001B1D4B"/>
    <w:rsid w:val="001B2BA9"/>
    <w:rsid w:val="001D0C90"/>
    <w:rsid w:val="001D3FD4"/>
    <w:rsid w:val="001D5D4F"/>
    <w:rsid w:val="001E14C7"/>
    <w:rsid w:val="001F4F8B"/>
    <w:rsid w:val="00201322"/>
    <w:rsid w:val="00203C53"/>
    <w:rsid w:val="0020706C"/>
    <w:rsid w:val="00210E60"/>
    <w:rsid w:val="002110FE"/>
    <w:rsid w:val="002116FF"/>
    <w:rsid w:val="00212908"/>
    <w:rsid w:val="00213CFF"/>
    <w:rsid w:val="00220166"/>
    <w:rsid w:val="00220527"/>
    <w:rsid w:val="00231207"/>
    <w:rsid w:val="00234802"/>
    <w:rsid w:val="00241AAD"/>
    <w:rsid w:val="002427E6"/>
    <w:rsid w:val="002451F9"/>
    <w:rsid w:val="002518C8"/>
    <w:rsid w:val="00255944"/>
    <w:rsid w:val="00261FC7"/>
    <w:rsid w:val="002677CF"/>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13D7"/>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C68"/>
    <w:rsid w:val="004267A2"/>
    <w:rsid w:val="004413F2"/>
    <w:rsid w:val="00456841"/>
    <w:rsid w:val="00485323"/>
    <w:rsid w:val="00487ED8"/>
    <w:rsid w:val="004911CB"/>
    <w:rsid w:val="00491918"/>
    <w:rsid w:val="004A10CD"/>
    <w:rsid w:val="004A2E7F"/>
    <w:rsid w:val="004A5A65"/>
    <w:rsid w:val="004B1485"/>
    <w:rsid w:val="004B69FB"/>
    <w:rsid w:val="004C6ECA"/>
    <w:rsid w:val="004D26DE"/>
    <w:rsid w:val="004D6C2C"/>
    <w:rsid w:val="004D7D86"/>
    <w:rsid w:val="004E1959"/>
    <w:rsid w:val="004E6202"/>
    <w:rsid w:val="004F1874"/>
    <w:rsid w:val="004F2034"/>
    <w:rsid w:val="004F3D0D"/>
    <w:rsid w:val="004F585C"/>
    <w:rsid w:val="004F7F49"/>
    <w:rsid w:val="00510A23"/>
    <w:rsid w:val="0051514A"/>
    <w:rsid w:val="00515AC5"/>
    <w:rsid w:val="00515C1E"/>
    <w:rsid w:val="00520DC2"/>
    <w:rsid w:val="00536F40"/>
    <w:rsid w:val="005470F3"/>
    <w:rsid w:val="00570997"/>
    <w:rsid w:val="00577AA8"/>
    <w:rsid w:val="005850CE"/>
    <w:rsid w:val="005A6D23"/>
    <w:rsid w:val="005B6370"/>
    <w:rsid w:val="005C1947"/>
    <w:rsid w:val="005C1E9D"/>
    <w:rsid w:val="005E03E7"/>
    <w:rsid w:val="005E75AB"/>
    <w:rsid w:val="00601F73"/>
    <w:rsid w:val="00625D15"/>
    <w:rsid w:val="00651611"/>
    <w:rsid w:val="00653AE2"/>
    <w:rsid w:val="006671C7"/>
    <w:rsid w:val="006917CF"/>
    <w:rsid w:val="00692BD4"/>
    <w:rsid w:val="0069695A"/>
    <w:rsid w:val="006B22F3"/>
    <w:rsid w:val="006B2FD5"/>
    <w:rsid w:val="006B5C2D"/>
    <w:rsid w:val="006B6C16"/>
    <w:rsid w:val="006D6F6C"/>
    <w:rsid w:val="006F239A"/>
    <w:rsid w:val="006F505D"/>
    <w:rsid w:val="006F7203"/>
    <w:rsid w:val="00722AEF"/>
    <w:rsid w:val="00731C1C"/>
    <w:rsid w:val="0073656E"/>
    <w:rsid w:val="00737A6C"/>
    <w:rsid w:val="00743F01"/>
    <w:rsid w:val="007449C1"/>
    <w:rsid w:val="00744AE4"/>
    <w:rsid w:val="00760DAA"/>
    <w:rsid w:val="00763D60"/>
    <w:rsid w:val="007833B1"/>
    <w:rsid w:val="00786EAB"/>
    <w:rsid w:val="007920AC"/>
    <w:rsid w:val="007A0F7E"/>
    <w:rsid w:val="007A42C5"/>
    <w:rsid w:val="007A65A1"/>
    <w:rsid w:val="007A6D43"/>
    <w:rsid w:val="007B1FCF"/>
    <w:rsid w:val="007C4620"/>
    <w:rsid w:val="007E337B"/>
    <w:rsid w:val="007E5EB3"/>
    <w:rsid w:val="00804E41"/>
    <w:rsid w:val="00811BC0"/>
    <w:rsid w:val="00820321"/>
    <w:rsid w:val="008231E8"/>
    <w:rsid w:val="008266B7"/>
    <w:rsid w:val="00854B89"/>
    <w:rsid w:val="00855555"/>
    <w:rsid w:val="00881BED"/>
    <w:rsid w:val="00881EF3"/>
    <w:rsid w:val="00883E7C"/>
    <w:rsid w:val="00886261"/>
    <w:rsid w:val="00894971"/>
    <w:rsid w:val="008C0341"/>
    <w:rsid w:val="008D5731"/>
    <w:rsid w:val="008E1349"/>
    <w:rsid w:val="0091791C"/>
    <w:rsid w:val="009266BC"/>
    <w:rsid w:val="00937A78"/>
    <w:rsid w:val="00947B1E"/>
    <w:rsid w:val="00953C08"/>
    <w:rsid w:val="0096268D"/>
    <w:rsid w:val="00970B65"/>
    <w:rsid w:val="00973C29"/>
    <w:rsid w:val="009B14F4"/>
    <w:rsid w:val="009B1B0D"/>
    <w:rsid w:val="009B1C3D"/>
    <w:rsid w:val="009B32DD"/>
    <w:rsid w:val="009C005A"/>
    <w:rsid w:val="009D4BC2"/>
    <w:rsid w:val="009D5E5F"/>
    <w:rsid w:val="009D62B4"/>
    <w:rsid w:val="009E1448"/>
    <w:rsid w:val="009E2374"/>
    <w:rsid w:val="009E3E41"/>
    <w:rsid w:val="009F0D38"/>
    <w:rsid w:val="009F6335"/>
    <w:rsid w:val="00A03CCE"/>
    <w:rsid w:val="00A05A06"/>
    <w:rsid w:val="00A164F2"/>
    <w:rsid w:val="00A2492C"/>
    <w:rsid w:val="00A26FCF"/>
    <w:rsid w:val="00A31FA5"/>
    <w:rsid w:val="00A34F8C"/>
    <w:rsid w:val="00A359DA"/>
    <w:rsid w:val="00A37886"/>
    <w:rsid w:val="00A63176"/>
    <w:rsid w:val="00A70D0C"/>
    <w:rsid w:val="00A9794C"/>
    <w:rsid w:val="00AB0440"/>
    <w:rsid w:val="00AC3FC5"/>
    <w:rsid w:val="00AC503A"/>
    <w:rsid w:val="00AD340B"/>
    <w:rsid w:val="00AE3966"/>
    <w:rsid w:val="00AE7BF8"/>
    <w:rsid w:val="00AF11C6"/>
    <w:rsid w:val="00B002D1"/>
    <w:rsid w:val="00B057F1"/>
    <w:rsid w:val="00B143A9"/>
    <w:rsid w:val="00B26762"/>
    <w:rsid w:val="00B4569E"/>
    <w:rsid w:val="00B45879"/>
    <w:rsid w:val="00B547D8"/>
    <w:rsid w:val="00B551EB"/>
    <w:rsid w:val="00B55F3D"/>
    <w:rsid w:val="00B73BD8"/>
    <w:rsid w:val="00B77B1D"/>
    <w:rsid w:val="00B84AC8"/>
    <w:rsid w:val="00B86E67"/>
    <w:rsid w:val="00B877B8"/>
    <w:rsid w:val="00B90F8C"/>
    <w:rsid w:val="00B91C0B"/>
    <w:rsid w:val="00B97E24"/>
    <w:rsid w:val="00BA0BE6"/>
    <w:rsid w:val="00BA2122"/>
    <w:rsid w:val="00BA2F3A"/>
    <w:rsid w:val="00BC5336"/>
    <w:rsid w:val="00BF1D5C"/>
    <w:rsid w:val="00BF47F9"/>
    <w:rsid w:val="00C07688"/>
    <w:rsid w:val="00C10B51"/>
    <w:rsid w:val="00C260AB"/>
    <w:rsid w:val="00C32933"/>
    <w:rsid w:val="00C3314D"/>
    <w:rsid w:val="00C37E60"/>
    <w:rsid w:val="00C52581"/>
    <w:rsid w:val="00C75246"/>
    <w:rsid w:val="00C80B0B"/>
    <w:rsid w:val="00C91EDF"/>
    <w:rsid w:val="00C97447"/>
    <w:rsid w:val="00CC6622"/>
    <w:rsid w:val="00CD1D70"/>
    <w:rsid w:val="00CE5803"/>
    <w:rsid w:val="00CF5ADB"/>
    <w:rsid w:val="00D1383F"/>
    <w:rsid w:val="00D20F5D"/>
    <w:rsid w:val="00D376ED"/>
    <w:rsid w:val="00D40E4F"/>
    <w:rsid w:val="00D41F95"/>
    <w:rsid w:val="00D4345B"/>
    <w:rsid w:val="00D5287A"/>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4A1E"/>
    <w:rsid w:val="00DF65C1"/>
    <w:rsid w:val="00E00607"/>
    <w:rsid w:val="00E008A4"/>
    <w:rsid w:val="00E042C5"/>
    <w:rsid w:val="00E04EF9"/>
    <w:rsid w:val="00E06D7C"/>
    <w:rsid w:val="00E21963"/>
    <w:rsid w:val="00E22D9A"/>
    <w:rsid w:val="00E262A3"/>
    <w:rsid w:val="00E32D2F"/>
    <w:rsid w:val="00E51E95"/>
    <w:rsid w:val="00E5461B"/>
    <w:rsid w:val="00E708C9"/>
    <w:rsid w:val="00E74E35"/>
    <w:rsid w:val="00E75B93"/>
    <w:rsid w:val="00E80174"/>
    <w:rsid w:val="00E86D2A"/>
    <w:rsid w:val="00E9123C"/>
    <w:rsid w:val="00E95800"/>
    <w:rsid w:val="00EB1C90"/>
    <w:rsid w:val="00EC1EF8"/>
    <w:rsid w:val="00EC2547"/>
    <w:rsid w:val="00EC4079"/>
    <w:rsid w:val="00EE7D05"/>
    <w:rsid w:val="00EF17BC"/>
    <w:rsid w:val="00EF3B9C"/>
    <w:rsid w:val="00EF67D7"/>
    <w:rsid w:val="00F04CAD"/>
    <w:rsid w:val="00F11982"/>
    <w:rsid w:val="00F235B4"/>
    <w:rsid w:val="00F2634D"/>
    <w:rsid w:val="00F332CE"/>
    <w:rsid w:val="00F35009"/>
    <w:rsid w:val="00F4083E"/>
    <w:rsid w:val="00F45BA7"/>
    <w:rsid w:val="00F51DD4"/>
    <w:rsid w:val="00F64096"/>
    <w:rsid w:val="00F64D56"/>
    <w:rsid w:val="00F73621"/>
    <w:rsid w:val="00F82B11"/>
    <w:rsid w:val="00F873F0"/>
    <w:rsid w:val="00F91F76"/>
    <w:rsid w:val="00FA6D2B"/>
    <w:rsid w:val="00FB15DB"/>
    <w:rsid w:val="00FC7DA9"/>
    <w:rsid w:val="00FD2F99"/>
    <w:rsid w:val="00FE5C5C"/>
    <w:rsid w:val="00FE5E9E"/>
    <w:rsid w:val="00FE76BC"/>
    <w:rsid w:val="00FF4DE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C87EC18-A10E-4261-8800-1A8B4CB8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F6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2FC5-52A6-4E90-8719-66105A0F1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1285</Words>
  <Characters>6490</Characters>
  <Application>Microsoft Office Word</Application>
  <DocSecurity>0</DocSecurity>
  <Lines>138</Lines>
  <Paragraphs>45</Paragraphs>
  <ScaleCrop>false</ScaleCrop>
  <HeadingPairs>
    <vt:vector size="2" baseType="variant">
      <vt:variant>
        <vt:lpstr>Title</vt:lpstr>
      </vt:variant>
      <vt:variant>
        <vt:i4>1</vt:i4>
      </vt:variant>
    </vt:vector>
  </HeadingPairs>
  <TitlesOfParts>
    <vt:vector size="1" baseType="lpstr">
      <vt:lpstr>S1958   FISCAL ESTIMATE</vt:lpstr>
    </vt:vector>
  </TitlesOfParts>
  <Manager>Juan Rodriguez; R225</Manager>
  <Company>Office of Legislative Services</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S1958  FISCAL ESTIMATE</dc:title>
  <dc:creator>Senator CRUZ-PEREZ, Senator SWEENEY</dc:creator>
  <cp:keywords>S1958|3|CL |289|260|84|!|0|</cp:keywords>
  <dc:description>sponsor 2/11</dc:description>
  <cp:lastModifiedBy>Siracusa, Nicole</cp:lastModifiedBy>
  <cp:revision>2</cp:revision>
  <dcterms:created xsi:type="dcterms:W3CDTF">2021-02-17T15:02:00Z</dcterms:created>
  <dcterms:modified xsi:type="dcterms:W3CDTF">2021-02-17T15:02:00Z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