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BEB" w:rsidRDefault="008D1BEB" w:rsidP="008D1BEB">
      <w:pPr>
        <w:pStyle w:val="bpuBill"/>
      </w:pPr>
      <w:bookmarkStart w:id="0" w:name="bpuFrontPg"/>
      <w:bookmarkStart w:id="1" w:name="_GoBack"/>
      <w:bookmarkEnd w:id="0"/>
      <w:bookmarkEnd w:id="1"/>
      <w:r>
        <w:t xml:space="preserve">SENATE, No. 1977 </w:t>
      </w:r>
    </w:p>
    <w:p w:rsidR="008D1BEB" w:rsidRPr="009D38FF" w:rsidRDefault="008D1BEB" w:rsidP="008D1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324" r:id="rId7"/>
        </w:object>
      </w:r>
    </w:p>
    <w:p w:rsidR="008D1BEB" w:rsidRDefault="008D1BEB" w:rsidP="008D1BEB">
      <w:pPr>
        <w:pStyle w:val="bpuState"/>
      </w:pPr>
      <w:r>
        <w:t>STATE OF NEW JERSEY</w:t>
      </w:r>
    </w:p>
    <w:p w:rsidR="008D1BEB" w:rsidRDefault="008D1BEB" w:rsidP="008D1BEB">
      <w:pPr>
        <w:pStyle w:val="bpuLegislature"/>
      </w:pPr>
      <w:r>
        <w:t>219th LEGISLATURE</w:t>
      </w:r>
    </w:p>
    <w:p w:rsidR="008D1BEB" w:rsidRDefault="008D1BEB" w:rsidP="008D1BEB">
      <w:pPr>
        <w:pStyle w:val="bpuWpGraphic"/>
      </w:pPr>
      <w:r>
        <w:object w:dxaOrig="8985" w:dyaOrig="255">
          <v:shape id="_x0000_i1026" type="#_x0000_t75" style="width:6in;height:12pt" o:ole="">
            <v:imagedata r:id="rId6" o:title=""/>
          </v:shape>
          <o:OLEObject Type="Embed" ProgID="WPWin6.1" ShapeID="_x0000_i1026" DrawAspect="Content" ObjectID="_1644163325" r:id="rId8"/>
        </w:object>
      </w:r>
      <w:r>
        <w:t xml:space="preserve">  </w:t>
      </w:r>
    </w:p>
    <w:p w:rsidR="008D1BEB" w:rsidRDefault="008D1BEB" w:rsidP="008D1BEB">
      <w:pPr>
        <w:pStyle w:val="bpuIntro"/>
      </w:pPr>
      <w:r>
        <w:t>INTRODUCED FEBRUARY 25, 2020</w:t>
      </w:r>
    </w:p>
    <w:p w:rsidR="008D1BEB" w:rsidRDefault="008D1BEB" w:rsidP="008D1BEB">
      <w:pPr>
        <w:pStyle w:val="bpuIntro"/>
      </w:pPr>
    </w:p>
    <w:p w:rsidR="008D1BEB" w:rsidRDefault="008D1BEB" w:rsidP="008D1BEB">
      <w:pPr>
        <w:pStyle w:val="bpuIntro"/>
        <w:sectPr w:rsidR="008D1BEB" w:rsidSect="008D1BEB">
          <w:headerReference w:type="even" r:id="rId9"/>
          <w:headerReference w:type="default" r:id="rId10"/>
          <w:pgSz w:w="12240" w:h="20160" w:code="5"/>
          <w:pgMar w:top="2160" w:right="1440" w:bottom="1440" w:left="1440" w:header="72" w:footer="720" w:gutter="0"/>
          <w:pgNumType w:start="1"/>
          <w:cols w:space="720"/>
          <w:docGrid w:linePitch="360"/>
        </w:sectPr>
      </w:pPr>
    </w:p>
    <w:p w:rsidR="008D1BEB" w:rsidRDefault="008D1BEB" w:rsidP="008D1BEB">
      <w:pPr>
        <w:pStyle w:val="bpuIntro"/>
      </w:pPr>
    </w:p>
    <w:p w:rsidR="008D1BEB" w:rsidRDefault="008D1BEB" w:rsidP="008D1BEB">
      <w:pPr>
        <w:pStyle w:val="bpuSponsor"/>
      </w:pPr>
      <w:r>
        <w:t>Sponsored by:</w:t>
      </w:r>
    </w:p>
    <w:p w:rsidR="008D1BEB" w:rsidRDefault="008D1BEB" w:rsidP="008D1BEB">
      <w:pPr>
        <w:pStyle w:val="bpuSponsor"/>
      </w:pPr>
      <w:r>
        <w:t>Senator  LINDA R. GREENSTEIN</w:t>
      </w:r>
    </w:p>
    <w:p w:rsidR="008D1BEB" w:rsidRDefault="008D1BEB" w:rsidP="008D1BEB">
      <w:pPr>
        <w:pStyle w:val="bpuSponsor"/>
      </w:pPr>
      <w:r>
        <w:t>District 14 (Mercer and Middlesex)</w:t>
      </w:r>
    </w:p>
    <w:p w:rsidR="008D1BEB" w:rsidRDefault="008D1BEB" w:rsidP="008D1BEB">
      <w:pPr>
        <w:pStyle w:val="bpuSponsor"/>
      </w:pPr>
    </w:p>
    <w:p w:rsidR="008D1BEB" w:rsidRDefault="008D1BEB" w:rsidP="008D1BEB">
      <w:pPr>
        <w:pStyle w:val="bpuSponsor"/>
      </w:pPr>
    </w:p>
    <w:p w:rsidR="008D1BEB" w:rsidRDefault="008D1BEB" w:rsidP="008D1BEB">
      <w:pPr>
        <w:pStyle w:val="bpuSponsor"/>
      </w:pPr>
    </w:p>
    <w:p w:rsidR="008D1BEB" w:rsidRDefault="008D1BEB" w:rsidP="008D1BEB">
      <w:pPr>
        <w:pStyle w:val="bpuSponsor"/>
      </w:pPr>
    </w:p>
    <w:p w:rsidR="008D1BEB" w:rsidRDefault="008D1BEB" w:rsidP="008D1BEB">
      <w:pPr>
        <w:pStyle w:val="bpuSponsor"/>
      </w:pPr>
      <w:r>
        <w:t>SYNOPSIS</w:t>
      </w:r>
    </w:p>
    <w:p w:rsidR="008D1BEB" w:rsidRDefault="008D1BEB" w:rsidP="008D1BEB">
      <w:pPr>
        <w:pStyle w:val="bpuNormText"/>
      </w:pPr>
      <w:r>
        <w:tab/>
        <w:t xml:space="preserve">Establishes rebuttable presumption of pretrial detention for child sexual abuse. </w:t>
      </w:r>
    </w:p>
    <w:p w:rsidR="008D1BEB" w:rsidRDefault="008D1BEB" w:rsidP="008D1BEB">
      <w:pPr>
        <w:pStyle w:val="bpuNormText"/>
      </w:pPr>
      <w:r>
        <w:t xml:space="preserve"> </w:t>
      </w:r>
    </w:p>
    <w:p w:rsidR="008D1BEB" w:rsidRDefault="008D1BEB" w:rsidP="008D1BEB">
      <w:pPr>
        <w:pStyle w:val="bpuSponsor"/>
      </w:pPr>
      <w:r>
        <w:t xml:space="preserve">CURRENT VERSION OF TEXT </w:t>
      </w:r>
    </w:p>
    <w:p w:rsidR="008D1BEB" w:rsidRDefault="008D1BEB" w:rsidP="008D1BEB">
      <w:pPr>
        <w:pStyle w:val="bpuNormText"/>
      </w:pPr>
      <w:r>
        <w:tab/>
        <w:t>As introduced.</w:t>
      </w:r>
    </w:p>
    <w:p w:rsidR="008D1BEB" w:rsidRDefault="008D1BEB" w:rsidP="008D1B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1BEB" w:rsidRDefault="008D1BEB" w:rsidP="008916EC">
      <w:pPr>
        <w:pStyle w:val="FronterPage"/>
        <w:tabs>
          <w:tab w:val="clear" w:pos="720"/>
          <w:tab w:val="clear" w:pos="1440"/>
          <w:tab w:val="clear" w:pos="2160"/>
          <w:tab w:val="clear" w:pos="2880"/>
          <w:tab w:val="clear" w:pos="3600"/>
          <w:tab w:val="clear" w:pos="4320"/>
          <w:tab w:val="clear" w:pos="5040"/>
        </w:tabs>
        <w:sectPr w:rsidR="008D1BEB" w:rsidSect="008D1BEB">
          <w:type w:val="continuous"/>
          <w:pgSz w:w="12240" w:h="20160" w:code="5"/>
          <w:pgMar w:top="1440" w:right="2275" w:bottom="1440" w:left="2275" w:header="72" w:footer="720" w:gutter="0"/>
          <w:pgNumType w:start="1"/>
          <w:cols w:space="720"/>
          <w:docGrid w:linePitch="360"/>
        </w:sectPr>
      </w:pPr>
    </w:p>
    <w:p w:rsidR="00F6359E" w:rsidRPr="00BB6E01" w:rsidRDefault="00F6359E" w:rsidP="00F6359E">
      <w:pPr>
        <w:pStyle w:val="HangingAnAct"/>
        <w:rPr>
          <w:rStyle w:val="HangingAnActChar"/>
        </w:rPr>
      </w:pPr>
      <w:r w:rsidRPr="00F6359E">
        <w:rPr>
          <w:rStyle w:val="BillHead"/>
        </w:rPr>
        <w:lastRenderedPageBreak/>
        <w:t>An Act</w:t>
      </w:r>
      <w:r w:rsidRPr="00BB6E01">
        <w:rPr>
          <w:rStyle w:val="HangingAnActChar"/>
        </w:rPr>
        <w:t xml:space="preserve"> concerning pretrial detention and amending P.L.2014, c.31.</w:t>
      </w:r>
    </w:p>
    <w:p w:rsidR="00F6359E" w:rsidRPr="00BB6E01" w:rsidRDefault="00F6359E" w:rsidP="00F6359E"/>
    <w:p w:rsidR="00F6359E" w:rsidRPr="00BB6E01" w:rsidRDefault="00F6359E" w:rsidP="00F6359E">
      <w:r w:rsidRPr="00BB6E01">
        <w:tab/>
      </w:r>
      <w:r w:rsidRPr="00BB6E01">
        <w:rPr>
          <w:rStyle w:val="BillHeading2"/>
        </w:rPr>
        <w:t xml:space="preserve">Be It Enacted </w:t>
      </w:r>
      <w:r w:rsidRPr="00BB6E01">
        <w:rPr>
          <w:rStyle w:val="BillLanguage"/>
        </w:rPr>
        <w:t>by the Senate and General Assembly of the State of New Jersey:</w:t>
      </w:r>
    </w:p>
    <w:p w:rsidR="00F6359E" w:rsidRPr="00BB6E01" w:rsidRDefault="00F6359E" w:rsidP="00F6359E"/>
    <w:p w:rsidR="00F6359E" w:rsidRPr="00BB6E01" w:rsidRDefault="00F6359E" w:rsidP="00F6359E">
      <w:r w:rsidRPr="00BB6E01">
        <w:tab/>
        <w:t>1.</w:t>
      </w:r>
      <w:r w:rsidRPr="00BB6E01">
        <w:tab/>
        <w:t xml:space="preserve">Section 4 of P.L.2014, c.31 (C.2A:162-18) is amended to read as follows: </w:t>
      </w:r>
    </w:p>
    <w:p w:rsidR="00F6359E" w:rsidRPr="00BB6E01" w:rsidRDefault="00F6359E" w:rsidP="00F6359E">
      <w:pPr>
        <w:tabs>
          <w:tab w:val="clear" w:pos="1440"/>
          <w:tab w:val="clear" w:pos="2160"/>
          <w:tab w:val="left" w:pos="1080"/>
          <w:tab w:val="left" w:pos="1620"/>
        </w:tabs>
      </w:pPr>
      <w:r>
        <w:tab/>
        <w:t>4.</w:t>
      </w:r>
      <w:r>
        <w:tab/>
        <w:t>a.</w:t>
      </w:r>
      <w:r>
        <w:tab/>
        <w:t>(1)</w:t>
      </w:r>
      <w:r>
        <w:tab/>
      </w:r>
      <w:r w:rsidRPr="00BB6E01">
        <w:t>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F6359E" w:rsidRPr="00BB6E01" w:rsidRDefault="00F6359E" w:rsidP="00F6359E">
      <w:r w:rsidRPr="00BB6E01">
        <w:tab/>
        <w:t>(2)</w:t>
      </w:r>
      <w:r w:rsidRPr="00BB6E01">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F6359E" w:rsidRPr="00BB6E01" w:rsidRDefault="00F6359E" w:rsidP="00F6359E">
      <w:r w:rsidRPr="00BB6E01">
        <w:tab/>
        <w:t>b.</w:t>
      </w:r>
      <w:r w:rsidRPr="00BB6E01">
        <w:tab/>
        <w:t xml:space="preserve">Regarding the pretrial detention hearing moved for by the prosecutor, except for when an eligible defendant is charged with a crime set forth under paragraph (1) </w:t>
      </w:r>
      <w:r w:rsidRPr="00BB6E01">
        <w:rPr>
          <w:rFonts w:ascii="Albertus Extra Bold" w:hAnsi="Albertus Extra Bold"/>
          <w:b/>
        </w:rPr>
        <w:t>[</w:t>
      </w:r>
      <w:r w:rsidRPr="00BB6E01">
        <w:t>or</w:t>
      </w:r>
      <w:r w:rsidRPr="00BB6E01">
        <w:rPr>
          <w:rFonts w:ascii="Albertus Extra Bold" w:hAnsi="Albertus Extra Bold"/>
          <w:b/>
        </w:rPr>
        <w:t>]</w:t>
      </w:r>
      <w:r w:rsidRPr="00BB6E01">
        <w:rPr>
          <w:u w:val="single"/>
        </w:rPr>
        <w:t>,</w:t>
      </w:r>
      <w:r w:rsidRPr="00BB6E01">
        <w:t xml:space="preserve"> (2)</w:t>
      </w:r>
      <w:r w:rsidRPr="00BB6E01">
        <w:rPr>
          <w:u w:val="single"/>
        </w:rPr>
        <w:t>, or (3)</w:t>
      </w:r>
      <w:r w:rsidRPr="00BB6E01">
        <w:t xml:space="preserve"> of subsection b. of section 5 of P.L.2014, c.31 (C.2A:162-19), there shall be a rebuttable presumption that some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F6359E" w:rsidRPr="00BB6E01" w:rsidRDefault="00F6359E" w:rsidP="00F6359E">
      <w:r w:rsidRPr="00BB6E01">
        <w:tab/>
        <w:t>c.</w:t>
      </w:r>
      <w:r w:rsidRPr="00BB6E01">
        <w:tab/>
        <w:t>An eligible defendant may appeal an order of pretrial detention pursuant to the Rules of Court.  The appeal shall be heard in an expedited manner.  The eligible defendant shall be detained pending the disposition of the appeal.</w:t>
      </w:r>
    </w:p>
    <w:p w:rsidR="00F6359E" w:rsidRPr="00BB6E01" w:rsidRDefault="00F6359E" w:rsidP="00F6359E">
      <w:r w:rsidRPr="00BB6E01">
        <w:tab/>
        <w:t>d.</w:t>
      </w:r>
      <w:r w:rsidRPr="00BB6E01">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F6359E" w:rsidRPr="00BB6E01" w:rsidRDefault="00F6359E" w:rsidP="00F6359E">
      <w:r w:rsidRPr="00BB6E01">
        <w:t>(</w:t>
      </w:r>
      <w:proofErr w:type="spellStart"/>
      <w:r w:rsidRPr="00BB6E01">
        <w:t>cf</w:t>
      </w:r>
      <w:proofErr w:type="spellEnd"/>
      <w:r w:rsidRPr="00BB6E01">
        <w:t>: P.L.2014, c.31, s.4)</w:t>
      </w:r>
    </w:p>
    <w:p w:rsidR="00F6359E" w:rsidRPr="00BB6E01" w:rsidRDefault="00F6359E" w:rsidP="00F6359E"/>
    <w:p w:rsidR="00F6359E" w:rsidRPr="00BB6E01" w:rsidRDefault="00F6359E" w:rsidP="00F6359E">
      <w:r w:rsidRPr="00BB6E01">
        <w:tab/>
        <w:t>2.</w:t>
      </w:r>
      <w:r w:rsidRPr="00BB6E01">
        <w:tab/>
        <w:t xml:space="preserve">Section 5 of P.L.2014, c.31 (C.2A:162-19) is amended to read as follows: </w:t>
      </w:r>
    </w:p>
    <w:p w:rsidR="00F6359E" w:rsidRPr="00BB6E01" w:rsidRDefault="00F6359E" w:rsidP="00F6359E">
      <w:pPr>
        <w:tabs>
          <w:tab w:val="clear" w:pos="1440"/>
          <w:tab w:val="left" w:pos="1080"/>
        </w:tabs>
      </w:pPr>
      <w:r>
        <w:tab/>
        <w:t>5.</w:t>
      </w:r>
      <w:r>
        <w:tab/>
        <w:t>a.</w:t>
      </w:r>
      <w:r>
        <w:tab/>
      </w:r>
      <w:r w:rsidRPr="00BB6E01">
        <w:t xml:space="preserve">A prosecutor may file a motion with the court at any time, including any time before or after an eligible defendant's release pursuant to section 3 of P.L.2014, c.31 (C.2A:162-17), seeking the pretrial detention of an eligible defendant for: </w:t>
      </w:r>
    </w:p>
    <w:p w:rsidR="00F6359E" w:rsidRPr="00BB6E01" w:rsidRDefault="00F6359E" w:rsidP="00F6359E">
      <w:r w:rsidRPr="00BB6E01">
        <w:tab/>
        <w:t>(1)</w:t>
      </w:r>
      <w:r w:rsidRPr="00BB6E01">
        <w:tab/>
        <w:t xml:space="preserve">any crime of the first or second degree enumerated under subsection d. of section 2 of P.L.1997, c.117 (C.2C:43-7.2); </w:t>
      </w:r>
    </w:p>
    <w:p w:rsidR="00F6359E" w:rsidRPr="00BB6E01" w:rsidRDefault="00F6359E" w:rsidP="00F6359E">
      <w:r w:rsidRPr="00BB6E01">
        <w:tab/>
        <w:t>(2)</w:t>
      </w:r>
      <w:r w:rsidRPr="00BB6E01">
        <w:tab/>
        <w:t xml:space="preserve">any crime for which the eligible defendant would be subject to an ordinary or extended term of life imprisonment; </w:t>
      </w:r>
    </w:p>
    <w:p w:rsidR="00F6359E" w:rsidRPr="00BB6E01" w:rsidRDefault="00F6359E" w:rsidP="00F6359E">
      <w:r w:rsidRPr="00BB6E01">
        <w:tab/>
        <w:t>(3)</w:t>
      </w:r>
      <w:r w:rsidRPr="00BB6E01">
        <w:tab/>
        <w:t xml:space="preserve">any crime if the eligible defendant has been convicted of two or more offenses under paragraph (1) or (2) of this subsection;  </w:t>
      </w:r>
    </w:p>
    <w:p w:rsidR="00F6359E" w:rsidRPr="00BB6E01" w:rsidRDefault="00F6359E" w:rsidP="00F6359E">
      <w:r w:rsidRPr="00BB6E01">
        <w:tab/>
        <w:t>(4)</w:t>
      </w:r>
      <w:r w:rsidRPr="00BB6E01">
        <w:tab/>
        <w:t xml:space="preserve">any crime enumerated under paragraph (2) of subsection b. of section 2 of P.L.1994, c.133 (C.2C:7-2) or crime involving human trafficking pursuant to section 1 of P.L.2005, c.77 (C.2C:13-8) or P.L.2013, c.51 (C.52:17B-237 et al.) when the victim is a minor, </w:t>
      </w:r>
      <w:r w:rsidRPr="00BB6E01">
        <w:rPr>
          <w:rFonts w:ascii="Albertus Extra Bold" w:hAnsi="Albertus Extra Bold"/>
          <w:b/>
        </w:rPr>
        <w:t>[</w:t>
      </w:r>
      <w:r w:rsidRPr="00BB6E01">
        <w:t>or</w:t>
      </w:r>
      <w:r w:rsidRPr="00BB6E01">
        <w:rPr>
          <w:rFonts w:ascii="Albertus Extra Bold" w:hAnsi="Albertus Extra Bold"/>
          <w:b/>
        </w:rPr>
        <w:t>]</w:t>
      </w:r>
      <w:r w:rsidRPr="00BB6E01">
        <w:t xml:space="preserve"> the crime of endangering the welfare of a child under N.J.S.2C:24-4</w:t>
      </w:r>
      <w:r w:rsidRPr="00BB6E01">
        <w:rPr>
          <w:u w:val="single"/>
        </w:rPr>
        <w:t>, the crime of sexual assault pursuant to N.J.S.2C:14-2 when the victim is a minor, or the crime of criminal sexual contact pursuant to N.J.S.2C:14-3 when the victim is a minor</w:t>
      </w:r>
      <w:r w:rsidRPr="00BB6E01">
        <w:t xml:space="preserve">; </w:t>
      </w:r>
    </w:p>
    <w:p w:rsidR="00F6359E" w:rsidRPr="00BB6E01" w:rsidRDefault="00F6359E" w:rsidP="00F6359E">
      <w:r w:rsidRPr="00BB6E01">
        <w:tab/>
        <w:t>(5)</w:t>
      </w:r>
      <w:r w:rsidRPr="00BB6E01">
        <w:tab/>
        <w:t xml:space="preserve">any crime enumerated under subsection c. of N.J.S.2C:43-6; </w:t>
      </w:r>
    </w:p>
    <w:p w:rsidR="00F6359E" w:rsidRPr="00BB6E01" w:rsidRDefault="00F6359E" w:rsidP="00F6359E">
      <w:r w:rsidRPr="00BB6E01">
        <w:tab/>
        <w:t>(6)</w:t>
      </w:r>
      <w:r w:rsidRPr="00BB6E01">
        <w:tab/>
        <w:t>any crime or offense involving domestic violence as defined in subsection a. of section 3 of P.L.1991, c.261 (C.2C:25-19); or</w:t>
      </w:r>
    </w:p>
    <w:p w:rsidR="00F6359E" w:rsidRPr="00BB6E01" w:rsidRDefault="00F6359E" w:rsidP="00F6359E">
      <w:r w:rsidRPr="00BB6E01">
        <w:tab/>
        <w:t>(7)</w:t>
      </w:r>
      <w:r w:rsidRPr="00BB6E01">
        <w:tab/>
        <w:t xml:space="preserve">any other crime for which the prosecutor believes there is a serious risk that: </w:t>
      </w:r>
    </w:p>
    <w:p w:rsidR="00F6359E" w:rsidRPr="00BB6E01" w:rsidRDefault="00F6359E" w:rsidP="00F6359E">
      <w:r w:rsidRPr="00BB6E01">
        <w:tab/>
        <w:t>(a)</w:t>
      </w:r>
      <w:r w:rsidRPr="00BB6E01">
        <w:tab/>
        <w:t xml:space="preserve">the eligible defendant will not appear in court as required; </w:t>
      </w:r>
    </w:p>
    <w:p w:rsidR="00F6359E" w:rsidRPr="00BB6E01" w:rsidRDefault="00F6359E" w:rsidP="00F6359E">
      <w:r w:rsidRPr="00BB6E01">
        <w:tab/>
        <w:t>(b)</w:t>
      </w:r>
      <w:r w:rsidRPr="00BB6E01">
        <w:tab/>
        <w:t xml:space="preserve">the eligible defendant will pose a danger to any other person or the community; or </w:t>
      </w:r>
    </w:p>
    <w:p w:rsidR="00F6359E" w:rsidRPr="00BB6E01" w:rsidRDefault="00F6359E" w:rsidP="00F6359E">
      <w:r w:rsidRPr="00BB6E01">
        <w:tab/>
        <w:t>(c)</w:t>
      </w:r>
      <w:r w:rsidRPr="00BB6E01">
        <w:tab/>
        <w:t xml:space="preserve">the eligible defendant will obstruct or attempt to obstruct justice, or threaten, injure, or intimidate, or attempt to threaten, injure or intimidate, a prospective witness or juror.  </w:t>
      </w:r>
    </w:p>
    <w:p w:rsidR="00F6359E" w:rsidRDefault="00F6359E" w:rsidP="00F6359E">
      <w:r w:rsidRPr="00BB6E01">
        <w:tab/>
        <w:t>b.</w:t>
      </w:r>
      <w:r w:rsidRPr="00BB6E01">
        <w:tab/>
        <w:t xml:space="preserve">When a motion for pretrial detention is filed pursuant to subsection a. of this section, there shall be a rebuttable presumption </w:t>
      </w:r>
    </w:p>
    <w:p w:rsidR="00F6359E" w:rsidRPr="00BB6E01" w:rsidRDefault="00F6359E" w:rsidP="00F6359E">
      <w:r w:rsidRPr="00BB6E01">
        <w:t xml:space="preserve">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F6359E" w:rsidRPr="00BB6E01" w:rsidRDefault="00F6359E" w:rsidP="00F6359E">
      <w:r w:rsidRPr="00BB6E01">
        <w:tab/>
        <w:t>(1)</w:t>
      </w:r>
      <w:r w:rsidRPr="00BB6E01">
        <w:tab/>
        <w:t xml:space="preserve">committed murder pursuant to N.J.S.2C:11-3; </w:t>
      </w:r>
      <w:r w:rsidRPr="00BB6E01">
        <w:rPr>
          <w:rFonts w:ascii="Albertus Extra Bold" w:hAnsi="Albertus Extra Bold"/>
          <w:b/>
        </w:rPr>
        <w:t>[</w:t>
      </w:r>
      <w:r w:rsidRPr="00BB6E01">
        <w:t>or</w:t>
      </w:r>
      <w:r w:rsidRPr="00BB6E01">
        <w:rPr>
          <w:rFonts w:ascii="Albertus Extra Bold" w:hAnsi="Albertus Extra Bold"/>
          <w:b/>
        </w:rPr>
        <w:t>]</w:t>
      </w:r>
    </w:p>
    <w:p w:rsidR="00F6359E" w:rsidRPr="00BB6E01" w:rsidRDefault="00F6359E" w:rsidP="00F6359E">
      <w:pPr>
        <w:rPr>
          <w:u w:val="single"/>
        </w:rPr>
      </w:pPr>
      <w:r w:rsidRPr="00BB6E01">
        <w:tab/>
      </w:r>
      <w:r w:rsidRPr="00BB6E01">
        <w:rPr>
          <w:u w:val="single"/>
        </w:rPr>
        <w:t>(2)</w:t>
      </w:r>
      <w:r w:rsidRPr="00BB6E01">
        <w:rPr>
          <w:u w:val="single"/>
        </w:rPr>
        <w:tab/>
        <w:t xml:space="preserve">committed sexual assault pursuant to N.J.S.2C:14-2 when the victim is a minor or criminal sexual contact pursuant to N.J.S.2C:14-3 when the victim is a minor; or  </w:t>
      </w:r>
    </w:p>
    <w:p w:rsidR="00F6359E" w:rsidRPr="00BB6E01" w:rsidRDefault="00F6359E" w:rsidP="00F6359E">
      <w:r w:rsidRPr="00BB6E01">
        <w:tab/>
      </w:r>
      <w:r w:rsidRPr="00BB6E01">
        <w:rPr>
          <w:rFonts w:ascii="Albertus Extra Bold" w:hAnsi="Albertus Extra Bold"/>
          <w:b/>
        </w:rPr>
        <w:t>[</w:t>
      </w:r>
      <w:r w:rsidRPr="00BB6E01">
        <w:t>(2)</w:t>
      </w:r>
      <w:r w:rsidRPr="00BB6E01">
        <w:rPr>
          <w:rFonts w:ascii="Albertus Extra Bold" w:hAnsi="Albertus Extra Bold"/>
          <w:b/>
        </w:rPr>
        <w:t>]</w:t>
      </w:r>
      <w:r w:rsidRPr="00BB6E01">
        <w:rPr>
          <w:u w:val="single"/>
        </w:rPr>
        <w:t>(3)</w:t>
      </w:r>
      <w:r w:rsidRPr="00BB6E01">
        <w:tab/>
        <w:t>committed any crime for which the eligible defendant would be subject to an ordinary or extended term of life imprisonment.</w:t>
      </w:r>
    </w:p>
    <w:p w:rsidR="00F6359E" w:rsidRPr="00BB6E01" w:rsidRDefault="00F6359E" w:rsidP="00F6359E">
      <w:r w:rsidRPr="00BB6E01">
        <w:tab/>
        <w:t>c.</w:t>
      </w:r>
      <w:r w:rsidRPr="00BB6E01">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F6359E" w:rsidRPr="00BB6E01" w:rsidRDefault="00F6359E" w:rsidP="00F6359E">
      <w:r w:rsidRPr="00BB6E01">
        <w:tab/>
        <w:t>d.</w:t>
      </w:r>
      <w:r w:rsidRPr="00BB6E01">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F6359E" w:rsidRPr="00BB6E01" w:rsidRDefault="00F6359E" w:rsidP="00F6359E">
      <w:r w:rsidRPr="00BB6E01">
        <w:tab/>
        <w:t>(2)</w:t>
      </w:r>
      <w:r w:rsidRPr="00BB6E01">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rsidRPr="00BB6E01">
        <w:t>sua</w:t>
      </w:r>
      <w:proofErr w:type="spellEnd"/>
      <w:r w:rsidRPr="00BB6E01">
        <w:t xml:space="preserve"> </w:t>
      </w:r>
      <w:proofErr w:type="spellStart"/>
      <w:r w:rsidRPr="00BB6E01">
        <w:t>sponte</w:t>
      </w:r>
      <w:proofErr w:type="spellEnd"/>
      <w:r w:rsidRPr="00BB6E01">
        <w:t xml:space="preserve">, may order that, while in custody, an eligible defendant who appears to be a drug dependent person receive an assessment to determine whether that eligible defendant is drug dependent. </w:t>
      </w:r>
    </w:p>
    <w:p w:rsidR="00F6359E" w:rsidRPr="00BB6E01" w:rsidRDefault="00F6359E" w:rsidP="00F6359E">
      <w:pPr>
        <w:tabs>
          <w:tab w:val="left" w:pos="1260"/>
          <w:tab w:val="left" w:pos="1620"/>
        </w:tabs>
      </w:pPr>
      <w:r>
        <w:tab/>
        <w:t>e.</w:t>
      </w:r>
      <w:r>
        <w:tab/>
        <w:t>(1)</w:t>
      </w:r>
      <w:r>
        <w:tab/>
      </w:r>
      <w:r w:rsidRPr="00BB6E01">
        <w:t xml:space="preserve">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  </w:t>
      </w:r>
    </w:p>
    <w:p w:rsidR="00F6359E" w:rsidRPr="00BB6E01" w:rsidRDefault="00F6359E" w:rsidP="00F6359E">
      <w:r w:rsidRPr="00BB6E01">
        <w:tab/>
        <w:t>(2)</w:t>
      </w:r>
      <w:r w:rsidRPr="00BB6E01">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F6359E" w:rsidRPr="00BB6E01" w:rsidRDefault="00F6359E" w:rsidP="00F6359E">
      <w:r w:rsidRPr="00BB6E01">
        <w:tab/>
        <w:t>(3)</w:t>
      </w:r>
      <w:r w:rsidRPr="00BB6E01">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F6359E" w:rsidRPr="00BB6E01" w:rsidRDefault="00F6359E" w:rsidP="00F6359E">
      <w:r w:rsidRPr="00BB6E01">
        <w:tab/>
        <w:t>f.</w:t>
      </w:r>
      <w:r w:rsidRPr="00BB6E01">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F6359E" w:rsidRPr="00BB6E01" w:rsidRDefault="00F6359E" w:rsidP="00F6359E">
      <w:r w:rsidRPr="00BB6E01">
        <w:t>(</w:t>
      </w:r>
      <w:proofErr w:type="spellStart"/>
      <w:r w:rsidRPr="00BB6E01">
        <w:t>cf</w:t>
      </w:r>
      <w:proofErr w:type="spellEnd"/>
      <w:r w:rsidRPr="00BB6E01">
        <w:t>: P.L.2014, c.31, s.5)</w:t>
      </w:r>
    </w:p>
    <w:p w:rsidR="00F6359E" w:rsidRPr="00BB6E01" w:rsidRDefault="00F6359E" w:rsidP="00F6359E"/>
    <w:p w:rsidR="00BE1B21" w:rsidRDefault="00BE1B21" w:rsidP="00BE1B21">
      <w:pPr>
        <w:tabs>
          <w:tab w:val="left" w:pos="1080"/>
        </w:tabs>
      </w:pPr>
      <w:r>
        <w:tab/>
      </w:r>
      <w:r w:rsidR="00F6359E">
        <w:t>3.</w:t>
      </w:r>
      <w:r w:rsidR="00F6359E">
        <w:tab/>
      </w:r>
      <w:r w:rsidR="00F6359E" w:rsidRPr="00BB6E01">
        <w:t xml:space="preserve">This act shall take effect immediately. </w:t>
      </w:r>
      <w:r>
        <w:br w:type="page"/>
      </w:r>
    </w:p>
    <w:p w:rsidR="00F6359E" w:rsidRPr="00BB6E01" w:rsidRDefault="00F6359E" w:rsidP="00F6359E">
      <w:pPr>
        <w:jc w:val="center"/>
      </w:pPr>
      <w:r w:rsidRPr="00BB6E01">
        <w:t>STATEMENT</w:t>
      </w:r>
    </w:p>
    <w:p w:rsidR="00F6359E" w:rsidRPr="00BB6E01" w:rsidRDefault="00F6359E" w:rsidP="00F6359E"/>
    <w:p w:rsidR="00F6359E" w:rsidRPr="00BB6E01" w:rsidRDefault="00F6359E" w:rsidP="00F6359E">
      <w:r w:rsidRPr="00BB6E01">
        <w:tab/>
        <w:t xml:space="preserve">This bill establishes a rebuttable presumption of pretrial detention for a defendant charged with sexual assault or criminal sexual contact when the victim is a minor.  </w:t>
      </w:r>
    </w:p>
    <w:p w:rsidR="00F6359E" w:rsidRPr="00BB6E01" w:rsidRDefault="00F6359E" w:rsidP="00F6359E">
      <w:r w:rsidRPr="00BB6E01">
        <w:tab/>
        <w:t>Under P.L.2014, c.31, also known as the “Bail Reform Law,” criminal courts are authorized to order the pretrial release of a defendant pending further proceedings, or order pretrial detention of a defendant who is found to be a flight risk, a danger to another or the community, or likely to obstruct further criminal proceedings.</w:t>
      </w:r>
    </w:p>
    <w:p w:rsidR="00F6359E" w:rsidRPr="00BB6E01" w:rsidRDefault="00F6359E" w:rsidP="00F6359E">
      <w:r w:rsidRPr="00BB6E01">
        <w:tab/>
        <w:t xml:space="preserve">Currently, there is a rebuttable presumption that a defendant who is charged with murder or a crime that subjects the defendant to an ordinary or extended term of life imprisonment is to be detained pending trial.  This rebuttable presumption applies when a prosecutor makes a motion for pretrial detention, and may be rebutted upon a showing of proof, by a preponderance of the evidence, in favor of the defendant.  If the presumption is not rebutted, the court may order pretrial detention of the defendant.  If the presumption is rebutted, the prosecutor still has the opportunity to establish grounds for pretrial detention.  </w:t>
      </w:r>
    </w:p>
    <w:p w:rsidR="00F6359E" w:rsidRPr="00E7752C" w:rsidRDefault="00F6359E" w:rsidP="00F6359E">
      <w:r w:rsidRPr="00BB6E01">
        <w:tab/>
        <w:t xml:space="preserve">This bill provides that the rebuttable presumption of pretrial detention also applies to defendants charged with sexual assault pursuant to N.J.S.2C:14-2 or criminal sexual contact pursuant to N.J.S.2C:14-3 when the victim is a minor. </w:t>
      </w:r>
    </w:p>
    <w:sectPr w:rsidR="00F6359E" w:rsidRPr="00E7752C" w:rsidSect="008D1B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E15" w:rsidRDefault="00306E15">
      <w:r>
        <w:separator/>
      </w:r>
    </w:p>
  </w:endnote>
  <w:endnote w:type="continuationSeparator" w:id="0">
    <w:p w:rsidR="00306E15" w:rsidRDefault="0030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E0E" w:rsidRPr="00921C91" w:rsidRDefault="00E31E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1E0E" w:rsidRPr="00921C91" w:rsidRDefault="00E31E0E">
    <w:pPr>
      <w:pStyle w:val="Footer"/>
      <w:rPr>
        <w:szCs w:val="18"/>
      </w:rPr>
    </w:pPr>
  </w:p>
  <w:p w:rsidR="00E31E0E" w:rsidRPr="00921C91" w:rsidRDefault="00E31E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1E0E" w:rsidRDefault="00E31E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E15" w:rsidRDefault="00306E15">
      <w:r>
        <w:separator/>
      </w:r>
    </w:p>
  </w:footnote>
  <w:footnote w:type="continuationSeparator" w:id="0">
    <w:p w:rsidR="00306E15" w:rsidRDefault="00306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A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1BEB" w:rsidRDefault="008D1BEB" w:rsidP="008D1BEB">
    <w:pPr>
      <w:pStyle w:val="bpuHeadSpon"/>
    </w:pPr>
    <w:r w:rsidRPr="008D1BEB">
      <w:rPr>
        <w:rStyle w:val="bpuHeadSponChar"/>
      </w:rPr>
      <w:t>S1977</w:t>
    </w:r>
    <w:r>
      <w:t xml:space="preserve"> GREENSTEIN</w:t>
    </w:r>
  </w:p>
  <w:p w:rsidR="008D1BEB" w:rsidRDefault="008D1BEB" w:rsidP="008D1BEB">
    <w:pPr>
      <w:pStyle w:val="bpuHeadSpon"/>
    </w:pPr>
    <w:r>
      <w:fldChar w:fldCharType="begin"/>
    </w:r>
    <w:r>
      <w:instrText xml:space="preserve"> PAGE  \* MERGEFORMAT </w:instrText>
    </w:r>
    <w:r>
      <w:fldChar w:fldCharType="separate"/>
    </w:r>
    <w:r w:rsidR="007F7ABC">
      <w:rPr>
        <w:noProof/>
      </w:rPr>
      <w:t>6</w:t>
    </w:r>
    <w:r>
      <w:fldChar w:fldCharType="end"/>
    </w:r>
  </w:p>
  <w:p w:rsidR="008D1BEB" w:rsidRDefault="008D1BEB" w:rsidP="008D1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BEB" w:rsidRDefault="008D1BEB" w:rsidP="008D1BEB">
    <w:pPr>
      <w:pStyle w:val="bpuHeadSpon"/>
    </w:pPr>
    <w:r w:rsidRPr="008D1BEB">
      <w:rPr>
        <w:rStyle w:val="bpuHeadSponChar"/>
      </w:rPr>
      <w:t>S1977</w:t>
    </w:r>
    <w:r>
      <w:t xml:space="preserve"> GREENSTEIN</w:t>
    </w:r>
  </w:p>
  <w:p w:rsidR="008D1BEB" w:rsidRDefault="008D1BEB" w:rsidP="008D1BEB">
    <w:pPr>
      <w:pStyle w:val="bpuHeadSpon"/>
    </w:pPr>
    <w:r>
      <w:fldChar w:fldCharType="begin"/>
    </w:r>
    <w:r>
      <w:instrText xml:space="preserve"> PAGE  \* MERGEFORMAT </w:instrText>
    </w:r>
    <w:r>
      <w:fldChar w:fldCharType="separate"/>
    </w:r>
    <w:r w:rsidR="007F7ABC">
      <w:rPr>
        <w:noProof/>
      </w:rPr>
      <w:t>2</w:t>
    </w:r>
    <w:r>
      <w:fldChar w:fldCharType="end"/>
    </w:r>
  </w:p>
  <w:p w:rsidR="008D1BEB" w:rsidRDefault="008D1BEB" w:rsidP="008D1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E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E15"/>
    <w:rsid w:val="003149D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D1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86D"/>
    <w:rsid w:val="007D40CB"/>
    <w:rsid w:val="007D5796"/>
    <w:rsid w:val="007D59C0"/>
    <w:rsid w:val="007D7D9C"/>
    <w:rsid w:val="007F485D"/>
    <w:rsid w:val="007F6050"/>
    <w:rsid w:val="007F7AB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BE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A0"/>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23C"/>
    <w:rsid w:val="00BC7892"/>
    <w:rsid w:val="00BE1B2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2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E0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59E"/>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3D308C-4A4F-4E15-92EF-E2253465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1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2001</Words>
  <Characters>10688</Characters>
  <Application>Microsoft Office Word</Application>
  <DocSecurity>0</DocSecurity>
  <Lines>235</Lines>
  <Paragraphs>51</Paragraphs>
  <ScaleCrop>false</ScaleCrop>
  <HeadingPairs>
    <vt:vector size="2" baseType="variant">
      <vt:variant>
        <vt:lpstr>Title</vt:lpstr>
      </vt:variant>
      <vt:variant>
        <vt:i4>1</vt:i4>
      </vt:variant>
    </vt:vector>
  </HeadingPairs>
  <TitlesOfParts>
    <vt:vector size="1" baseType="lpstr">
      <vt:lpstr>A447 Reintro 20 21 Sen. Greenstein</vt:lpstr>
    </vt:vector>
  </TitlesOfParts>
  <Manager>R211</Manager>
  <Company>NJ Office of Legislative Services</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S1977</dc:title>
  <dc:subject/>
  <dc:creator>Senator  GREENSTEIN</dc:creator>
  <cp:keywords>S1977|6|LP |301|0|301|F|0|</cp:keywords>
  <dc:description>INTRODUCED FEBRUARY 25, 2020</dc:description>
  <cp:lastModifiedBy>Sommers, Shelly</cp:lastModifiedBy>
  <cp:revision>2</cp:revision>
  <cp:lastPrinted>2020-02-25T18:36:00Z</cp:lastPrinted>
  <dcterms:created xsi:type="dcterms:W3CDTF">2020-02-26T00:08:00Z</dcterms:created>
  <dcterms:modified xsi:type="dcterms:W3CDTF">2020-02-26T00:08:00Z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