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0EA8" w:rsidRDefault="00390EA8" w:rsidP="00390EA8">
      <w:pPr>
        <w:pStyle w:val="bpuBill"/>
      </w:pPr>
      <w:bookmarkStart w:id="0" w:name="bpuFrontPg"/>
      <w:bookmarkStart w:id="1" w:name="_GoBack"/>
      <w:bookmarkEnd w:id="0"/>
      <w:bookmarkEnd w:id="1"/>
      <w:r>
        <w:t xml:space="preserve">SENATE, No. 2054 </w:t>
      </w:r>
    </w:p>
    <w:p w:rsidR="00390EA8" w:rsidRPr="009D38FF" w:rsidRDefault="00390EA8" w:rsidP="00390EA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5942709" r:id="rId8"/>
        </w:object>
      </w:r>
    </w:p>
    <w:p w:rsidR="00390EA8" w:rsidRDefault="00390EA8" w:rsidP="00390EA8">
      <w:pPr>
        <w:pStyle w:val="bpuState"/>
      </w:pPr>
      <w:r>
        <w:t>STATE OF NEW JERSEY</w:t>
      </w:r>
    </w:p>
    <w:p w:rsidR="00390EA8" w:rsidRDefault="00390EA8" w:rsidP="00390EA8">
      <w:pPr>
        <w:pStyle w:val="bpuLegislature"/>
      </w:pPr>
      <w:r>
        <w:t>219th LEGISLATURE</w:t>
      </w:r>
    </w:p>
    <w:p w:rsidR="00390EA8" w:rsidRDefault="00390EA8" w:rsidP="00390EA8">
      <w:pPr>
        <w:pStyle w:val="bpuWpGraphic"/>
      </w:pPr>
      <w:r>
        <w:object w:dxaOrig="8985" w:dyaOrig="255">
          <v:shape id="_x0000_i1026" type="#_x0000_t75" style="width:6in;height:12pt" o:ole="">
            <v:imagedata r:id="rId7" o:title=""/>
          </v:shape>
          <o:OLEObject Type="Embed" ProgID="WPWin6.1" ShapeID="_x0000_i1026" DrawAspect="Content" ObjectID="_1645942710" r:id="rId9"/>
        </w:object>
      </w:r>
      <w:r>
        <w:t xml:space="preserve">  </w:t>
      </w:r>
    </w:p>
    <w:p w:rsidR="00390EA8" w:rsidRDefault="00390EA8" w:rsidP="00390EA8">
      <w:pPr>
        <w:pStyle w:val="bpuIntro"/>
      </w:pPr>
      <w:r>
        <w:t>INTRODUCED MARCH 16, 2020</w:t>
      </w:r>
    </w:p>
    <w:p w:rsidR="00390EA8" w:rsidRDefault="00390EA8" w:rsidP="00390EA8">
      <w:pPr>
        <w:pStyle w:val="bpuIntro"/>
      </w:pPr>
    </w:p>
    <w:p w:rsidR="00390EA8" w:rsidRDefault="00390EA8" w:rsidP="00390EA8">
      <w:pPr>
        <w:pStyle w:val="bpuIntro"/>
        <w:sectPr w:rsidR="00390EA8" w:rsidSect="00390EA8">
          <w:headerReference w:type="even" r:id="rId10"/>
          <w:headerReference w:type="default" r:id="rId11"/>
          <w:pgSz w:w="12240" w:h="20160" w:code="5"/>
          <w:pgMar w:top="2160" w:right="1440" w:bottom="1440" w:left="1440" w:header="72" w:footer="720" w:gutter="0"/>
          <w:pgNumType w:start="1"/>
          <w:cols w:space="720"/>
          <w:docGrid w:linePitch="360"/>
        </w:sectPr>
      </w:pPr>
    </w:p>
    <w:p w:rsidR="00390EA8" w:rsidRDefault="00390EA8" w:rsidP="00390EA8">
      <w:pPr>
        <w:pStyle w:val="bpuIntro"/>
      </w:pPr>
    </w:p>
    <w:p w:rsidR="00390EA8" w:rsidRDefault="00390EA8" w:rsidP="00390EA8">
      <w:pPr>
        <w:pStyle w:val="bpuSponsor"/>
      </w:pPr>
      <w:r>
        <w:t>Sponsored by:</w:t>
      </w:r>
    </w:p>
    <w:p w:rsidR="00390EA8" w:rsidRDefault="00390EA8" w:rsidP="00390EA8">
      <w:pPr>
        <w:pStyle w:val="bpuSponsor"/>
      </w:pPr>
      <w:r>
        <w:t>Senator  JAMES BEACH</w:t>
      </w:r>
    </w:p>
    <w:p w:rsidR="00390EA8" w:rsidRDefault="00390EA8" w:rsidP="00390EA8">
      <w:pPr>
        <w:pStyle w:val="bpuSponsor"/>
      </w:pPr>
      <w:r>
        <w:t>District 6 (Burlington and Camden)</w:t>
      </w:r>
    </w:p>
    <w:p w:rsidR="00390EA8" w:rsidRDefault="00390EA8" w:rsidP="00390EA8">
      <w:pPr>
        <w:pStyle w:val="bpuSponsor"/>
      </w:pPr>
    </w:p>
    <w:p w:rsidR="00390EA8" w:rsidRDefault="00390EA8" w:rsidP="00390EA8">
      <w:pPr>
        <w:pStyle w:val="bpuSponsor"/>
      </w:pPr>
    </w:p>
    <w:p w:rsidR="00390EA8" w:rsidRDefault="00390EA8" w:rsidP="00390EA8">
      <w:pPr>
        <w:pStyle w:val="bpuSponsor"/>
      </w:pPr>
    </w:p>
    <w:p w:rsidR="00390EA8" w:rsidRDefault="00390EA8" w:rsidP="00390EA8">
      <w:pPr>
        <w:pStyle w:val="bpuSponsor"/>
      </w:pPr>
    </w:p>
    <w:p w:rsidR="00390EA8" w:rsidRDefault="00390EA8" w:rsidP="00390EA8">
      <w:pPr>
        <w:pStyle w:val="bpuSponsor"/>
      </w:pPr>
      <w:r>
        <w:t>SYNOPSIS</w:t>
      </w:r>
    </w:p>
    <w:p w:rsidR="00390EA8" w:rsidRDefault="00390EA8" w:rsidP="00390EA8">
      <w:pPr>
        <w:pStyle w:val="bpuNormText"/>
      </w:pPr>
      <w:r>
        <w:tab/>
        <w:t xml:space="preserve">Prohibits investment of pension and annuity funds by State in entities that avoid Superfund obligations to State. </w:t>
      </w:r>
    </w:p>
    <w:p w:rsidR="00390EA8" w:rsidRDefault="00390EA8" w:rsidP="00390EA8">
      <w:pPr>
        <w:pStyle w:val="bpuNormText"/>
      </w:pPr>
    </w:p>
    <w:p w:rsidR="00390EA8" w:rsidRDefault="00390EA8" w:rsidP="00390EA8">
      <w:pPr>
        <w:pStyle w:val="bpuSponsor"/>
      </w:pPr>
      <w:r>
        <w:t xml:space="preserve">CURRENT VERSION OF TEXT </w:t>
      </w:r>
    </w:p>
    <w:p w:rsidR="00390EA8" w:rsidRDefault="00390EA8" w:rsidP="00390EA8">
      <w:pPr>
        <w:pStyle w:val="bpuNormText"/>
      </w:pPr>
      <w:r>
        <w:tab/>
        <w:t>As introduced.</w:t>
      </w:r>
    </w:p>
    <w:p w:rsidR="00390EA8" w:rsidRDefault="00390EA8" w:rsidP="00390EA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90EA8" w:rsidRDefault="00390EA8" w:rsidP="008916EC">
      <w:pPr>
        <w:pStyle w:val="FronterPage"/>
        <w:tabs>
          <w:tab w:val="clear" w:pos="720"/>
          <w:tab w:val="clear" w:pos="1440"/>
          <w:tab w:val="clear" w:pos="2160"/>
          <w:tab w:val="clear" w:pos="2880"/>
          <w:tab w:val="clear" w:pos="3600"/>
          <w:tab w:val="clear" w:pos="4320"/>
          <w:tab w:val="clear" w:pos="5040"/>
        </w:tabs>
        <w:sectPr w:rsidR="00390EA8" w:rsidSect="00390EA8">
          <w:type w:val="continuous"/>
          <w:pgSz w:w="12240" w:h="20160" w:code="5"/>
          <w:pgMar w:top="1440" w:right="2275" w:bottom="1440" w:left="2275" w:header="72" w:footer="720" w:gutter="0"/>
          <w:pgNumType w:start="1"/>
          <w:cols w:space="720"/>
          <w:docGrid w:linePitch="360"/>
        </w:sectPr>
      </w:pPr>
    </w:p>
    <w:p w:rsidR="009D5A99" w:rsidRPr="00C17F26" w:rsidRDefault="009D5A99" w:rsidP="009D5A99">
      <w:pPr>
        <w:pStyle w:val="HangingAnAct"/>
        <w:rPr>
          <w:rStyle w:val="HangingAnActChar"/>
        </w:rPr>
      </w:pPr>
      <w:r w:rsidRPr="00C17F26">
        <w:rPr>
          <w:rStyle w:val="BillHead"/>
        </w:rPr>
        <w:lastRenderedPageBreak/>
        <w:t>An Act</w:t>
      </w:r>
      <w:r w:rsidRPr="00C17F26">
        <w:rPr>
          <w:rStyle w:val="HangingAnActChar"/>
        </w:rPr>
        <w:t xml:space="preserve"> </w:t>
      </w:r>
      <w:r w:rsidRPr="00C17F26">
        <w:t>concerning the investment by the State of pension and annuity funds in entities that avoid their Superfund obligations to the State and supplementing P.L.1950, c.270 (C.52:18A-79</w:t>
      </w:r>
      <w:r w:rsidR="001B0D25">
        <w:t> </w:t>
      </w:r>
      <w:r w:rsidRPr="00C17F26">
        <w:t>et</w:t>
      </w:r>
      <w:r w:rsidR="001B0D25">
        <w:t> </w:t>
      </w:r>
      <w:r w:rsidRPr="00C17F26">
        <w:t>seq.).</w:t>
      </w:r>
    </w:p>
    <w:p w:rsidR="009D5A99" w:rsidRPr="00C17F26" w:rsidRDefault="009D5A99" w:rsidP="009D5A99"/>
    <w:p w:rsidR="009D5A99" w:rsidRPr="00C17F26" w:rsidRDefault="009D5A99" w:rsidP="009D5A99">
      <w:r w:rsidRPr="00C17F26">
        <w:tab/>
      </w:r>
      <w:r w:rsidRPr="00C17F26">
        <w:rPr>
          <w:rStyle w:val="BillHeading2"/>
        </w:rPr>
        <w:t xml:space="preserve">Be It Enacted </w:t>
      </w:r>
      <w:r w:rsidRPr="00C17F26">
        <w:rPr>
          <w:rStyle w:val="BillLanguage"/>
        </w:rPr>
        <w:t>by the Senate and General Assembly of the State of New Jersey:</w:t>
      </w:r>
    </w:p>
    <w:p w:rsidR="009D5A99" w:rsidRPr="00C17F26" w:rsidRDefault="009D5A99" w:rsidP="009D5A99"/>
    <w:p w:rsidR="009D5A99" w:rsidRPr="00C17F26" w:rsidRDefault="009D5A99" w:rsidP="009D5A99">
      <w:r w:rsidRPr="00C17F26">
        <w:tab/>
        <w:t>1.</w:t>
      </w:r>
      <w:r w:rsidR="001B0D25">
        <w:tab/>
      </w:r>
      <w:r w:rsidRPr="00C17F26">
        <w:t>The Legislature finds and declares that:</w:t>
      </w:r>
    </w:p>
    <w:p w:rsidR="009D5A99" w:rsidRPr="00C17F26" w:rsidRDefault="009D5A99" w:rsidP="009D5A99">
      <w:r w:rsidRPr="00C17F26">
        <w:tab/>
        <w:t>The federal Comprehensive Environmental Response, Compensation, and Liability Act (CERCLA), commonly known as Superfund, provides for the cleanup of some of the nation’s most contaminated hazardous waste sites by assigning responsibility for the expense of the cleanup to the entity that caused the contamination, so that taxpayers and residents are not forced to pay for very costly remediation.</w:t>
      </w:r>
    </w:p>
    <w:p w:rsidR="009D5A99" w:rsidRPr="00C17F26" w:rsidRDefault="009D5A99" w:rsidP="009D5A99">
      <w:r w:rsidRPr="00C17F26">
        <w:tab/>
        <w:t>Because New Jersey has a long history of chemical and other industrial manufacturing, the State has more Superfund sites than any other state in the country, making cleanup and remediation of these Superfund sites particularly critical for the well-being of the State’s residents.</w:t>
      </w:r>
    </w:p>
    <w:p w:rsidR="009D5A99" w:rsidRPr="00C17F26" w:rsidRDefault="009D5A99" w:rsidP="009D5A99">
      <w:r w:rsidRPr="00C17F26">
        <w:tab/>
        <w:t>One example of a Superfund site in the State is the site in Newark where, for several decades, Diamond Alkali Company, purchased later by Maxus Energy Corporation, manufactured agricultural chemicals, including the herbicide known as Agent Orange.  The United States Environmental Protection Agency (EPA) found high levels of dioxin at the Diamond Alkali facility and placed the site on the Superfund National Priorities List in 1984.  Several other hazardous substances and semi-volatile and volatile compounds were also discovered at the site.</w:t>
      </w:r>
    </w:p>
    <w:p w:rsidR="009D5A99" w:rsidRPr="00C17F26" w:rsidRDefault="009D5A99" w:rsidP="009D5A99">
      <w:r w:rsidRPr="00C17F26">
        <w:tab/>
        <w:t>The hazardous substances and semi-volatile and volatile compounds have contaminated the environment at and around the site, including the soil, groundwater, air, surface water, and building structures at the site, as well as caused widespread contamination in the Passaic River.  The contamination in the river is so severe that there are prohibitions and advisories on fish and crab consumption in the area.</w:t>
      </w:r>
    </w:p>
    <w:p w:rsidR="009D5A99" w:rsidRPr="00C17F26" w:rsidRDefault="009D5A99" w:rsidP="009D5A99">
      <w:r w:rsidRPr="00C17F26">
        <w:tab/>
        <w:t>Subsequent to the designation of the Superfund site, the Argentinian state-owned oil company, YPF S.A., acquired Maxus Energy Corporation.</w:t>
      </w:r>
    </w:p>
    <w:p w:rsidR="009D5A99" w:rsidRPr="00C17F26" w:rsidRDefault="009D5A99" w:rsidP="009D5A99">
      <w:r w:rsidRPr="00C17F26">
        <w:tab/>
        <w:t>In March 2016, the EPA announced its finding that remediation of the Diamond Alkali site would cost $1.38 billion.</w:t>
      </w:r>
    </w:p>
    <w:p w:rsidR="009D5A99" w:rsidRPr="00C17F26" w:rsidRDefault="009D5A99" w:rsidP="009D5A99">
      <w:r w:rsidRPr="00C17F26">
        <w:tab/>
        <w:t>Three months following the EPA’s announcement, YPF S.A. placed Maxus Energy Corporation into bankruptcy, ultimately stripping it of its assets and rendering it unable to fulfill its Superfund obligations for the Diamond Alkali site.</w:t>
      </w:r>
      <w:r w:rsidR="00184B09" w:rsidRPr="00C17F26">
        <w:t xml:space="preserve"> </w:t>
      </w:r>
      <w:r w:rsidRPr="00C17F26">
        <w:t xml:space="preserve"> Nevertheless, YPF S.A. remains a profitable business.</w:t>
      </w:r>
    </w:p>
    <w:p w:rsidR="009D5A99" w:rsidRPr="00C17F26" w:rsidRDefault="009D5A99" w:rsidP="009D5A99">
      <w:r w:rsidRPr="00C17F26">
        <w:tab/>
        <w:t>New Jersey has a significant interest in ensuring these Superfund sites no longer pose a threat to its residents, and if responsible parties are able to avoid the expense of a cleanup of Superfund sites without consequence, then the State should not allow those parties to continue to profit from the State’s investments.</w:t>
      </w:r>
    </w:p>
    <w:p w:rsidR="009D5A99" w:rsidRPr="00C17F26" w:rsidRDefault="009D5A99" w:rsidP="009D5A99">
      <w:r w:rsidRPr="00C17F26">
        <w:tab/>
        <w:t>By prohibiting the Department of the Treasury from investing in these entities, responsible parties that avoid their Superfund obligations may realize their actions are not without consequence and perhaps will be deterred from doing so in the future.</w:t>
      </w:r>
    </w:p>
    <w:p w:rsidR="009D5A99" w:rsidRPr="00C17F26" w:rsidRDefault="009D5A99" w:rsidP="009D5A99"/>
    <w:p w:rsidR="009D5A99" w:rsidRPr="00C17F26" w:rsidRDefault="009D5A99" w:rsidP="009D5A99">
      <w:r w:rsidRPr="00C17F26">
        <w:tab/>
        <w:t>2.</w:t>
      </w:r>
      <w:r w:rsidRPr="00C17F26">
        <w:tab/>
        <w:t>a.  Notwithstanding any provision of law to the contrary, no assets of any pension or annuity fund under the jurisdiction of the Division of Investment in the Department of the Treasury, or its successor, shall be invested in any business, or country or its instrumentality, or business affiliate, if that business has been identified as a responsible party, with or without adjudication or other finding of responsibility, by the United States Environmental Protection Agency in accordance with the Comprehensive Environmental Response, Compensation, and Liability Act (CERCLA), 42 U.S.C. s.9601 et seq., for a Superfund site in the State, upon that business entity, country or country’s instrumentalities filing for bankruptcy rendering that business, or country, or country’s instrumentality incapable of complying with its obligations, in whole or in part, for a Superfund site in the State for which it has been identified as a responsible party, when that bankruptcy filing is in direct anticipation of or in direct response to a finding of responsibility by the United States Environmental Protection Agency in accordance with CERCLA for a Superfund site in the State.</w:t>
      </w:r>
    </w:p>
    <w:p w:rsidR="009D5A99" w:rsidRPr="00C17F26" w:rsidRDefault="009D5A99" w:rsidP="009D5A99">
      <w:r w:rsidRPr="00C17F26">
        <w:tab/>
        <w:t>As used in this act, “business affiliate” means an entity that directly or indirectly owns, controls, or holds with power to vote 20 percent or more of the outstanding voting securities of the debtor, other than an entity that holds such securities (1) in a fiduciary or agency capacity without sole discretionary power to vote on such securities; or (2) solely to secure a debt if that entity has not in fact exercised the power to vote.</w:t>
      </w:r>
    </w:p>
    <w:p w:rsidR="009D5A99" w:rsidRPr="00C17F26" w:rsidRDefault="009D5A99" w:rsidP="009D5A99">
      <w:r w:rsidRPr="00C17F26">
        <w:tab/>
        <w:t>b.</w:t>
      </w:r>
      <w:r w:rsidRPr="00C17F26">
        <w:tab/>
        <w:t>The Director of the Division of Investment, after consulting with an independent research firm, shall take appropriate action to sell, redeem, divest, or withdraw investments held in violation of subsection a. of this section.  This section shall not be construed to require the premature or otherwise imprudent sale, redemption, divestment, or withdrawal of an investment, but such sale, redemption, divestment, or withdrawal shall be completed not later than three years following the effective date of this act, P.L.</w:t>
      </w:r>
      <w:r w:rsidR="001B0D25">
        <w:t>    , </w:t>
      </w:r>
      <w:r w:rsidRPr="00C17F26">
        <w:t>c.</w:t>
      </w:r>
      <w:r w:rsidR="001B0D25">
        <w:t>    </w:t>
      </w:r>
      <w:r w:rsidRPr="00C17F26">
        <w:t>(C.</w:t>
      </w:r>
      <w:r w:rsidR="001B0D25">
        <w:t>         </w:t>
      </w:r>
      <w:r w:rsidRPr="00C17F26">
        <w:t>)</w:t>
      </w:r>
      <w:r w:rsidR="001B0D25">
        <w:t> </w:t>
      </w:r>
      <w:r w:rsidRPr="00C17F26">
        <w:t>(pending before the Legislature as this bill) or initial identification of a business, or country, or country’s instrumentality in accordance with this section.  Upon identification, and prior to any sale, redemption, divestment, or withdrawal of an investment, the director shall notify the business, or country, or country’s instrumentality that it is in violation of this act, P.L.    , c.    (C.        ) (pending before the Legislature as this bill), and inform the business of the appeal process.</w:t>
      </w:r>
    </w:p>
    <w:p w:rsidR="009D5A99" w:rsidRPr="00C17F26" w:rsidRDefault="009D5A99" w:rsidP="009D5A99">
      <w:r w:rsidRPr="00C17F26">
        <w:tab/>
        <w:t>c.</w:t>
      </w:r>
      <w:r w:rsidRPr="00C17F26">
        <w:tab/>
        <w:t>Within 180 days after the effective date of this act, P.L.</w:t>
      </w:r>
      <w:r w:rsidR="001B0D25">
        <w:t>    </w:t>
      </w:r>
      <w:r w:rsidRPr="00C17F26">
        <w:t>,</w:t>
      </w:r>
      <w:r w:rsidR="001B0D25">
        <w:t> </w:t>
      </w:r>
      <w:r w:rsidRPr="00C17F26">
        <w:t>c.</w:t>
      </w:r>
      <w:r w:rsidR="001B0D25">
        <w:t>    </w:t>
      </w:r>
      <w:r w:rsidRPr="00C17F26">
        <w:t>(C.</w:t>
      </w:r>
      <w:r w:rsidR="001B0D25">
        <w:t>        </w:t>
      </w:r>
      <w:r w:rsidRPr="00C17F26">
        <w:t>)</w:t>
      </w:r>
      <w:r w:rsidR="001B0D25">
        <w:t> </w:t>
      </w:r>
      <w:r w:rsidRPr="00C17F26">
        <w:t>(pending before the Legislature as this bill), the Director of the Division of Investment shall file with the Legislature, pursuant to section 2 of P.L.1991, c.164 (C.52:14-19.1), a report of all investments held as of the effective date that are in violation of subsection a. of this section.  Every year thereafter, the director shall report on all investments sold, redeemed, divested, or withdrawn in compliance with subsection b. of this section.</w:t>
      </w:r>
    </w:p>
    <w:p w:rsidR="009D5A99" w:rsidRPr="00C17F26" w:rsidRDefault="009D5A99" w:rsidP="009D5A99">
      <w:r w:rsidRPr="00C17F26">
        <w:tab/>
        <w:t>Each report after the initial report shall provide a description of the progress that the division has made since the previous report and since the enactment of this act, P.L.    , c.    (C.        ) (pending before the Legislature as this bill) in implementing subsection b. of this section.</w:t>
      </w:r>
    </w:p>
    <w:p w:rsidR="001B0D25" w:rsidRDefault="009D5A99" w:rsidP="001B0D25">
      <w:r w:rsidRPr="00C17F26">
        <w:tab/>
        <w:t>d.</w:t>
      </w:r>
      <w:r w:rsidRPr="00C17F26">
        <w:tab/>
        <w:t>The members of the State Investment Council, jointly and individually, and State officers and employees involved therewith, shall be indemnified and held harmless by the State of New Jersey from all claims, demands, suits, actions, damages, judgments, costs, charges, and expenses, including court costs and attorney's fees, and against all liability, losses, and damages that these council members, and State officers and employees, may sustain by reason of any decision to restrict, reduce, or eliminate investments pursuant to this act.</w:t>
      </w:r>
    </w:p>
    <w:p w:rsidR="001B0D25" w:rsidRDefault="001B0D25" w:rsidP="001B0D25"/>
    <w:p w:rsidR="009D5A99" w:rsidRPr="00C17F26" w:rsidRDefault="001B0D25" w:rsidP="001B0D25">
      <w:r>
        <w:tab/>
        <w:t>3.</w:t>
      </w:r>
      <w:r>
        <w:tab/>
      </w:r>
      <w:r w:rsidR="009D5A99" w:rsidRPr="00C17F26">
        <w:t>This act shall take effect immediately.</w:t>
      </w:r>
    </w:p>
    <w:p w:rsidR="009D5A99" w:rsidRPr="00C17F26" w:rsidRDefault="009D5A99" w:rsidP="009D5A99"/>
    <w:p w:rsidR="000308D7" w:rsidRPr="00C17F26" w:rsidRDefault="000308D7" w:rsidP="009D5A99"/>
    <w:p w:rsidR="00686AEB" w:rsidRPr="00C17F26" w:rsidRDefault="000308D7" w:rsidP="000308D7">
      <w:pPr>
        <w:jc w:val="center"/>
      </w:pPr>
      <w:r w:rsidRPr="00C17F26">
        <w:t>STATEMENT</w:t>
      </w:r>
    </w:p>
    <w:p w:rsidR="000308D7" w:rsidRPr="00C17F26" w:rsidRDefault="000308D7" w:rsidP="00686AEB"/>
    <w:p w:rsidR="005771C5" w:rsidRPr="00C17F26" w:rsidRDefault="000308D7" w:rsidP="005771C5">
      <w:r w:rsidRPr="00C17F26">
        <w:tab/>
      </w:r>
      <w:r w:rsidR="005771C5" w:rsidRPr="00C17F26">
        <w:t>This bill prohibits the investment of New Jersey public employee retirement funds in any business, country, country’s instrumentality, or business affiliate that avoids its Superfund obligations to the State.</w:t>
      </w:r>
    </w:p>
    <w:p w:rsidR="005771C5" w:rsidRPr="00C17F26" w:rsidRDefault="005771C5" w:rsidP="005771C5">
      <w:r w:rsidRPr="00C17F26">
        <w:tab/>
        <w:t>The bill prohibits the investment of any pension or annuity fund asset under the jurisdiction of the Division of Investment in the Department of the Treasury in any business, country, country’s instrumentality, or business affiliate, if that business has been identified as a responsible party by the United States Environmental Protection Agency, in accordance with the federal  Comprehensive Environmental Response, Compensation, and Liability Act (CERCLA) for a Superfund site in the State, and if that business, country or country’s instrumentality filed for bankruptcy rendering it incapable of complying with its obligations with respect to a Superfund site in the State for which it has been identified as a responsible party.  This prohibition applies if the bankruptcy filing is in direct anticipation of or in direct response to a finding of responsibility by the United States Environmental Protection Agency in accordance with CERCLA for a Superfund site in the State.</w:t>
      </w:r>
    </w:p>
    <w:p w:rsidR="005771C5" w:rsidRPr="00C17F26" w:rsidRDefault="005771C5" w:rsidP="005771C5">
      <w:r w:rsidRPr="00C17F26">
        <w:tab/>
        <w:t>The bill requires that divestment occur within three years of the bill’s effective date or within three years of an initial identification of a business, country, or country’s instrumentality that it is in violation of the bill.  The bill requires the director to notify the business, country, or country’s instrumentality that it is in violation of the bill, and to inform the business of the appeal process, prior to taking any action to divest prohibited investments.</w:t>
      </w:r>
    </w:p>
    <w:p w:rsidR="005771C5" w:rsidRPr="00C17F26" w:rsidRDefault="005771C5" w:rsidP="005771C5">
      <w:r w:rsidRPr="00C17F26">
        <w:tab/>
        <w:t>The bill requires the director to file a report with the Legislature of all investments held in violation of the bill within 180 days of the bill’s effective date.</w:t>
      </w:r>
      <w:r w:rsidR="00184B09" w:rsidRPr="00C17F26">
        <w:t xml:space="preserve"> </w:t>
      </w:r>
      <w:r w:rsidRPr="00C17F26">
        <w:t xml:space="preserve"> Every year thereafter, the director is required to report on all investments divested in accordance with the bill.</w:t>
      </w:r>
    </w:p>
    <w:p w:rsidR="000308D7" w:rsidRPr="00C17F26" w:rsidRDefault="005771C5" w:rsidP="005771C5">
      <w:r w:rsidRPr="00C17F26">
        <w:tab/>
        <w:t>The bill requires the State to indemnify and hold harmless members and employees of the State Investment Council from all claims, liability, losses, and damages that council members, and State officers and employees, may sustain because of a decision to divest investments prohibited by the bill.</w:t>
      </w:r>
    </w:p>
    <w:sectPr w:rsidR="000308D7" w:rsidRPr="00C17F26" w:rsidSect="00390EA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3604" w:rsidRDefault="00413604">
      <w:r>
        <w:separator/>
      </w:r>
    </w:p>
  </w:endnote>
  <w:endnote w:type="continuationSeparator" w:id="0">
    <w:p w:rsidR="00413604" w:rsidRDefault="004136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3604" w:rsidRDefault="00413604">
      <w:r>
        <w:separator/>
      </w:r>
    </w:p>
  </w:footnote>
  <w:footnote w:type="continuationSeparator" w:id="0">
    <w:p w:rsidR="00413604" w:rsidRDefault="004136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C3EC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90EA8" w:rsidRDefault="00390EA8" w:rsidP="00390EA8">
    <w:pPr>
      <w:pStyle w:val="bpuHeadSpon"/>
    </w:pPr>
    <w:r w:rsidRPr="00390EA8">
      <w:rPr>
        <w:rStyle w:val="bpuHeadSponChar"/>
      </w:rPr>
      <w:t>S2054</w:t>
    </w:r>
    <w:r>
      <w:t xml:space="preserve"> BEACH</w:t>
    </w:r>
  </w:p>
  <w:p w:rsidR="00390EA8" w:rsidRDefault="00390EA8" w:rsidP="00390EA8">
    <w:pPr>
      <w:pStyle w:val="bpuHeadSpon"/>
    </w:pPr>
    <w:r>
      <w:fldChar w:fldCharType="begin"/>
    </w:r>
    <w:r>
      <w:instrText xml:space="preserve"> PAGE  \* MERGEFORMAT </w:instrText>
    </w:r>
    <w:r>
      <w:fldChar w:fldCharType="separate"/>
    </w:r>
    <w:r w:rsidR="002C3EC7">
      <w:rPr>
        <w:noProof/>
      </w:rPr>
      <w:t>5</w:t>
    </w:r>
    <w:r>
      <w:fldChar w:fldCharType="end"/>
    </w:r>
  </w:p>
  <w:p w:rsidR="00390EA8" w:rsidRDefault="00390EA8" w:rsidP="00390EA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90EA8" w:rsidRDefault="00390EA8" w:rsidP="00390EA8">
    <w:pPr>
      <w:pStyle w:val="bpuHeadSpon"/>
    </w:pPr>
    <w:r w:rsidRPr="00390EA8">
      <w:rPr>
        <w:rStyle w:val="bpuHeadSponChar"/>
      </w:rPr>
      <w:t>S2054</w:t>
    </w:r>
    <w:r>
      <w:t xml:space="preserve"> BEACH</w:t>
    </w:r>
  </w:p>
  <w:p w:rsidR="00390EA8" w:rsidRDefault="00390EA8" w:rsidP="00390EA8">
    <w:pPr>
      <w:pStyle w:val="bpuHeadSpon"/>
    </w:pPr>
    <w:r>
      <w:fldChar w:fldCharType="begin"/>
    </w:r>
    <w:r>
      <w:instrText xml:space="preserve"> PAGE  \* MERGEFORMAT </w:instrText>
    </w:r>
    <w:r>
      <w:fldChar w:fldCharType="separate"/>
    </w:r>
    <w:r w:rsidR="002C3EC7">
      <w:rPr>
        <w:noProof/>
      </w:rPr>
      <w:t>2</w:t>
    </w:r>
    <w:r>
      <w:fldChar w:fldCharType="end"/>
    </w:r>
  </w:p>
  <w:p w:rsidR="00390EA8" w:rsidRDefault="00390EA8" w:rsidP="00390EA8">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E4F3A22"/>
    <w:multiLevelType w:val="hybridMultilevel"/>
    <w:tmpl w:val="AC84F786"/>
    <w:lvl w:ilvl="0" w:tplc="7A50C1F0">
      <w:start w:val="3"/>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3604"/>
    <w:rsid w:val="000051BD"/>
    <w:rsid w:val="000160A5"/>
    <w:rsid w:val="0002335B"/>
    <w:rsid w:val="000308D7"/>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84B09"/>
    <w:rsid w:val="00194E78"/>
    <w:rsid w:val="0019707B"/>
    <w:rsid w:val="00197E8B"/>
    <w:rsid w:val="00197FA4"/>
    <w:rsid w:val="001A161A"/>
    <w:rsid w:val="001A3B79"/>
    <w:rsid w:val="001A66B6"/>
    <w:rsid w:val="001B0D25"/>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3EC7"/>
    <w:rsid w:val="002C461E"/>
    <w:rsid w:val="002C6CEC"/>
    <w:rsid w:val="002D4FF7"/>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0EA8"/>
    <w:rsid w:val="00391DA4"/>
    <w:rsid w:val="003A3C64"/>
    <w:rsid w:val="003A3F83"/>
    <w:rsid w:val="003C43EF"/>
    <w:rsid w:val="003C5A6B"/>
    <w:rsid w:val="003C7FB2"/>
    <w:rsid w:val="003D24DE"/>
    <w:rsid w:val="003E26D4"/>
    <w:rsid w:val="003E47BA"/>
    <w:rsid w:val="003F3B37"/>
    <w:rsid w:val="0040195A"/>
    <w:rsid w:val="00402DC0"/>
    <w:rsid w:val="00413604"/>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1C5"/>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12C6"/>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5A99"/>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17F26"/>
    <w:rsid w:val="00C23F09"/>
    <w:rsid w:val="00C25356"/>
    <w:rsid w:val="00C328D0"/>
    <w:rsid w:val="00C36FAA"/>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2241"/>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CEC40AF-62ED-462F-BF81-5F186F72AE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9D5A99"/>
    <w:pPr>
      <w:ind w:left="720"/>
      <w:contextualSpacing/>
    </w:pPr>
  </w:style>
  <w:style w:type="paragraph" w:styleId="BalloonText">
    <w:name w:val="Balloon Text"/>
    <w:basedOn w:val="Normal"/>
    <w:link w:val="BalloonTextChar"/>
    <w:semiHidden/>
    <w:unhideWhenUsed/>
    <w:rsid w:val="002D4FF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D4FF7"/>
    <w:rPr>
      <w:rFonts w:ascii="Segoe UI" w:hAnsi="Segoe UI" w:cs="Segoe UI"/>
      <w:spacing w:val="4"/>
      <w:sz w:val="18"/>
      <w:szCs w:val="18"/>
    </w:rPr>
  </w:style>
  <w:style w:type="character" w:styleId="LineNumber">
    <w:name w:val="line number"/>
    <w:basedOn w:val="DefaultParagraphFont"/>
    <w:semiHidden/>
    <w:unhideWhenUsed/>
    <w:rsid w:val="00390E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1502</Words>
  <Characters>8144</Characters>
  <Application>Microsoft Office Word</Application>
  <DocSecurity>0</DocSecurity>
  <Lines>188</Lines>
  <Paragraphs>36</Paragraphs>
  <ScaleCrop>false</ScaleCrop>
  <HeadingPairs>
    <vt:vector size="2" baseType="variant">
      <vt:variant>
        <vt:lpstr>Title</vt:lpstr>
      </vt:variant>
      <vt:variant>
        <vt:i4>1</vt:i4>
      </vt:variant>
    </vt:vector>
  </HeadingPairs>
  <TitlesOfParts>
    <vt:vector size="1" baseType="lpstr">
      <vt:lpstr>S2054</vt:lpstr>
    </vt:vector>
  </TitlesOfParts>
  <Manager>R224</Manager>
  <Company>NJ Office of Legislative Services</Company>
  <LinksUpToDate>false</LinksUpToDate>
  <CharactersWithSpaces>9707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S2054</dc:title>
  <dc:subject/>
  <dc:creator>Senator  BEACH</dc:creator>
  <cp:keywords>S2054|5|SG |305|0|305|F|0|</cp:keywords>
  <dc:description>INTRODUCED MARCH 16, 2020</dc:description>
  <cp:lastModifiedBy>Franks, Denise</cp:lastModifiedBy>
  <cp:revision>2</cp:revision>
  <cp:lastPrinted>2020-03-10T15:48:00Z</cp:lastPrinted>
  <dcterms:created xsi:type="dcterms:W3CDTF">2020-03-17T13:31:00Z</dcterms:created>
  <dcterms:modified xsi:type="dcterms:W3CDTF">2020-03-17T13:31:00Z</dcterms:modified>
  <cp:category>ss.1-2: C.52:18A-89.16 et seq._x000d_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