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2DB8" w:rsidRDefault="003D2DB8" w:rsidP="003D2DB8">
      <w:pPr>
        <w:pStyle w:val="bpuBill"/>
      </w:pPr>
      <w:bookmarkStart w:id="0" w:name="bpuFrontPg"/>
      <w:bookmarkStart w:id="1" w:name="_GoBack"/>
      <w:bookmarkEnd w:id="0"/>
      <w:bookmarkEnd w:id="1"/>
      <w:r>
        <w:t xml:space="preserve">SENATE, No. 2081 </w:t>
      </w:r>
    </w:p>
    <w:p w:rsidR="003D2DB8" w:rsidRPr="009D38FF" w:rsidRDefault="003D2DB8" w:rsidP="003D2DB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3487" r:id="rId7"/>
        </w:object>
      </w:r>
    </w:p>
    <w:p w:rsidR="003D2DB8" w:rsidRDefault="003D2DB8" w:rsidP="003D2DB8">
      <w:pPr>
        <w:pStyle w:val="bpuState"/>
      </w:pPr>
      <w:r>
        <w:t>STATE OF NEW JERSEY</w:t>
      </w:r>
    </w:p>
    <w:p w:rsidR="003D2DB8" w:rsidRDefault="003D2DB8" w:rsidP="003D2DB8">
      <w:pPr>
        <w:pStyle w:val="bpuLegislature"/>
      </w:pPr>
      <w:r>
        <w:t>219th LEGISLATURE</w:t>
      </w:r>
    </w:p>
    <w:p w:rsidR="003D2DB8" w:rsidRDefault="003D2DB8" w:rsidP="003D2DB8">
      <w:pPr>
        <w:pStyle w:val="bpuWpGraphic"/>
      </w:pPr>
      <w:r>
        <w:object w:dxaOrig="8985" w:dyaOrig="255">
          <v:shape id="_x0000_i1026" type="#_x0000_t75" style="width:6in;height:12pt" o:ole="">
            <v:imagedata r:id="rId6" o:title=""/>
          </v:shape>
          <o:OLEObject Type="Embed" ProgID="WPWin6.1" ShapeID="_x0000_i1026" DrawAspect="Content" ObjectID="_1645943488" r:id="rId8"/>
        </w:object>
      </w:r>
      <w:r>
        <w:t xml:space="preserve">  </w:t>
      </w:r>
    </w:p>
    <w:p w:rsidR="003D2DB8" w:rsidRDefault="003D2DB8" w:rsidP="003D2DB8">
      <w:pPr>
        <w:pStyle w:val="bpuIntro"/>
      </w:pPr>
      <w:r>
        <w:t>INTRODUCED MARCH 16, 2020</w:t>
      </w:r>
    </w:p>
    <w:p w:rsidR="003D2DB8" w:rsidRDefault="003D2DB8" w:rsidP="003D2DB8">
      <w:pPr>
        <w:pStyle w:val="bpuIntro"/>
      </w:pPr>
    </w:p>
    <w:p w:rsidR="003D2DB8" w:rsidRDefault="003D2DB8" w:rsidP="003D2DB8">
      <w:pPr>
        <w:pStyle w:val="bpuIntro"/>
        <w:sectPr w:rsidR="003D2DB8" w:rsidSect="003D2DB8">
          <w:headerReference w:type="even" r:id="rId9"/>
          <w:headerReference w:type="default" r:id="rId10"/>
          <w:pgSz w:w="12240" w:h="20160" w:code="5"/>
          <w:pgMar w:top="2160" w:right="1440" w:bottom="1440" w:left="1440" w:header="72" w:footer="720" w:gutter="0"/>
          <w:pgNumType w:start="1"/>
          <w:cols w:space="720"/>
          <w:docGrid w:linePitch="360"/>
        </w:sectPr>
      </w:pPr>
    </w:p>
    <w:p w:rsidR="003D2DB8" w:rsidRDefault="003D2DB8" w:rsidP="003D2DB8">
      <w:pPr>
        <w:pStyle w:val="bpuIntro"/>
      </w:pPr>
    </w:p>
    <w:p w:rsidR="003D2DB8" w:rsidRDefault="003D2DB8" w:rsidP="003D2DB8">
      <w:pPr>
        <w:pStyle w:val="bpuSponsor"/>
      </w:pPr>
      <w:r>
        <w:t>Sponsored by:</w:t>
      </w:r>
    </w:p>
    <w:p w:rsidR="003D2DB8" w:rsidRDefault="003D2DB8" w:rsidP="003D2DB8">
      <w:pPr>
        <w:pStyle w:val="bpuSponsor"/>
      </w:pPr>
      <w:r>
        <w:t>Senator  RICHARD J. CODEY</w:t>
      </w:r>
    </w:p>
    <w:p w:rsidR="003D2DB8" w:rsidRDefault="003D2DB8" w:rsidP="003D2DB8">
      <w:pPr>
        <w:pStyle w:val="bpuSponsor"/>
      </w:pPr>
      <w:r>
        <w:t>District 27 (Essex and Morris)</w:t>
      </w:r>
    </w:p>
    <w:p w:rsidR="003D2DB8" w:rsidRDefault="003D2DB8" w:rsidP="003D2DB8">
      <w:pPr>
        <w:pStyle w:val="bpuSponsor"/>
      </w:pPr>
      <w:r>
        <w:t>Senator  JOSEPH F. VITALE</w:t>
      </w:r>
    </w:p>
    <w:p w:rsidR="003D2DB8" w:rsidRDefault="003D2DB8" w:rsidP="003D2DB8">
      <w:pPr>
        <w:pStyle w:val="bpuSponsor"/>
      </w:pPr>
      <w:r>
        <w:t>District 19 (Middlesex)</w:t>
      </w:r>
    </w:p>
    <w:p w:rsidR="003D2DB8" w:rsidRDefault="003D2DB8" w:rsidP="003D2DB8">
      <w:pPr>
        <w:pStyle w:val="bpuSponsor"/>
      </w:pPr>
    </w:p>
    <w:p w:rsidR="003D2DB8" w:rsidRDefault="003D2DB8" w:rsidP="003D2DB8">
      <w:pPr>
        <w:pStyle w:val="bpuSponsor"/>
      </w:pPr>
    </w:p>
    <w:p w:rsidR="003D2DB8" w:rsidRDefault="003D2DB8" w:rsidP="003D2DB8">
      <w:pPr>
        <w:pStyle w:val="bpuSponsor"/>
      </w:pPr>
    </w:p>
    <w:p w:rsidR="003D2DB8" w:rsidRDefault="003D2DB8" w:rsidP="003D2DB8">
      <w:pPr>
        <w:pStyle w:val="bpuSponsor"/>
      </w:pPr>
    </w:p>
    <w:p w:rsidR="003D2DB8" w:rsidRDefault="003D2DB8" w:rsidP="003D2DB8">
      <w:pPr>
        <w:pStyle w:val="bpuSponsor"/>
      </w:pPr>
      <w:r>
        <w:t>SYNOPSIS</w:t>
      </w:r>
    </w:p>
    <w:p w:rsidR="003D2DB8" w:rsidRDefault="003D2DB8" w:rsidP="003D2DB8">
      <w:pPr>
        <w:pStyle w:val="bpuNormText"/>
      </w:pPr>
      <w:r>
        <w:tab/>
        <w:t xml:space="preserve">Establishes cap on amount that hospital can charge patients for laboratory services to 150% of Medicare. </w:t>
      </w:r>
    </w:p>
    <w:p w:rsidR="003D2DB8" w:rsidRDefault="003D2DB8" w:rsidP="003D2DB8">
      <w:pPr>
        <w:pStyle w:val="bpuNormText"/>
      </w:pPr>
    </w:p>
    <w:p w:rsidR="003D2DB8" w:rsidRDefault="003D2DB8" w:rsidP="003D2DB8">
      <w:pPr>
        <w:pStyle w:val="bpuSponsor"/>
      </w:pPr>
      <w:r>
        <w:t xml:space="preserve">CURRENT VERSION OF TEXT </w:t>
      </w:r>
    </w:p>
    <w:p w:rsidR="003D2DB8" w:rsidRDefault="003D2DB8" w:rsidP="003D2DB8">
      <w:pPr>
        <w:pStyle w:val="bpuNormText"/>
      </w:pPr>
      <w:r>
        <w:tab/>
        <w:t>As introduced.</w:t>
      </w:r>
    </w:p>
    <w:p w:rsidR="003D2DB8" w:rsidRDefault="003D2DB8" w:rsidP="003D2DB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D2DB8" w:rsidRDefault="003D2DB8" w:rsidP="008916EC">
      <w:pPr>
        <w:pStyle w:val="FronterPage"/>
        <w:tabs>
          <w:tab w:val="clear" w:pos="720"/>
          <w:tab w:val="clear" w:pos="1440"/>
          <w:tab w:val="clear" w:pos="2160"/>
          <w:tab w:val="clear" w:pos="2880"/>
          <w:tab w:val="clear" w:pos="3600"/>
          <w:tab w:val="clear" w:pos="4320"/>
          <w:tab w:val="clear" w:pos="5040"/>
        </w:tabs>
        <w:sectPr w:rsidR="003D2DB8" w:rsidSect="003D2DB8">
          <w:type w:val="continuous"/>
          <w:pgSz w:w="12240" w:h="20160" w:code="5"/>
          <w:pgMar w:top="1440" w:right="2275" w:bottom="1440" w:left="2275" w:header="72" w:footer="720" w:gutter="0"/>
          <w:pgNumType w:start="1"/>
          <w:cols w:space="720"/>
          <w:docGrid w:linePitch="360"/>
        </w:sectPr>
      </w:pPr>
    </w:p>
    <w:p w:rsidR="009A28A8" w:rsidRPr="00E46331" w:rsidRDefault="009A28A8" w:rsidP="009A28A8">
      <w:pPr>
        <w:pStyle w:val="HangingAnAct"/>
      </w:pPr>
      <w:r w:rsidRPr="009A28A8">
        <w:rPr>
          <w:rStyle w:val="BillHead"/>
        </w:rPr>
        <w:lastRenderedPageBreak/>
        <w:t>An Act</w:t>
      </w:r>
      <w:r w:rsidRPr="006B7FA7">
        <w:rPr>
          <w:rStyle w:val="HangingAnActChar"/>
        </w:rPr>
        <w:t xml:space="preserve"> </w:t>
      </w:r>
      <w:r>
        <w:t>concerning hospital charges for laboratory services and supplementing Title 26 of the Revised Statutes.</w:t>
      </w:r>
    </w:p>
    <w:p w:rsidR="009A28A8" w:rsidRPr="00D71D68" w:rsidRDefault="009A28A8" w:rsidP="009A28A8"/>
    <w:p w:rsidR="009A28A8" w:rsidRPr="00AA7880" w:rsidRDefault="009A28A8" w:rsidP="009A28A8">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9A28A8" w:rsidRPr="00D71D68" w:rsidRDefault="009A28A8" w:rsidP="009A28A8"/>
    <w:p w:rsidR="009A28A8" w:rsidRDefault="009A28A8" w:rsidP="009A28A8">
      <w:r>
        <w:tab/>
        <w:t>1.</w:t>
      </w:r>
      <w:r>
        <w:tab/>
      </w:r>
      <w:r w:rsidRPr="0026642B">
        <w:t xml:space="preserve">Except as provided by section 1 of P.L.2008, c.60 (C.26:2H-12.52), a hospital that is licensed by the Department of Health pursuant to P.L.1971, c.136 (C.26:2H-1 et al.) shall charge a patient </w:t>
      </w:r>
      <w:r>
        <w:t>in</w:t>
      </w:r>
      <w:r w:rsidRPr="0026642B">
        <w:t xml:space="preserve"> this State an amount no greater than 150% of the applicable payment rate under the federal Medicare program, established pursuant to Pub.L.89-97 (42 U.S.C. s.1395 et seq.), for any laboratory services that are rendered to the patient.</w:t>
      </w:r>
    </w:p>
    <w:p w:rsidR="009A28A8" w:rsidRDefault="009A28A8" w:rsidP="009A28A8"/>
    <w:p w:rsidR="009A28A8" w:rsidRDefault="009A28A8" w:rsidP="009A28A8">
      <w:r>
        <w:tab/>
        <w:t>2.</w:t>
      </w:r>
      <w:r>
        <w:tab/>
        <w:t>This act shall take effect immediately.</w:t>
      </w:r>
    </w:p>
    <w:p w:rsidR="009A28A8" w:rsidRPr="00AA7880" w:rsidRDefault="009A28A8" w:rsidP="009A28A8"/>
    <w:p w:rsidR="009A28A8" w:rsidRPr="00CE7BD8" w:rsidRDefault="009A28A8" w:rsidP="009A28A8"/>
    <w:p w:rsidR="009A28A8" w:rsidRPr="00AA7880" w:rsidRDefault="009A28A8" w:rsidP="009A28A8">
      <w:pPr>
        <w:jc w:val="center"/>
      </w:pPr>
      <w:r w:rsidRPr="00D71D68">
        <w:t>STATEMENT</w:t>
      </w:r>
    </w:p>
    <w:p w:rsidR="009A28A8" w:rsidRDefault="009A28A8" w:rsidP="009A28A8"/>
    <w:p w:rsidR="009A28A8" w:rsidRDefault="009A28A8" w:rsidP="009A28A8">
      <w:r>
        <w:tab/>
        <w:t xml:space="preserve">This bill would prohibit a hospital from billing certain patients for laboratory services in an amount that exceeds 150% of the applicable payment rate under the federal Medicare program.  </w:t>
      </w:r>
    </w:p>
    <w:p w:rsidR="009A28A8" w:rsidRDefault="009A28A8" w:rsidP="009A28A8">
      <w:r>
        <w:tab/>
        <w:t>Under existing law, at P.L.2008, c.60 (C.26:2H-12.52 et seq.), whenever a hospital provides health care services (including laboratory services) to an uninsured patient whose family gross income is less than 500% of the federal poverty level, the hospital is prohibited from charging the patient more than 115% of the applicable payment rate for those services under the federal Medicare program.  This bill would establish a similar cap on charges for laboratory services that are provided to patients who do not satisfy the income and other requirements of P.L.2008, c.60.  In particular, the bill would provide that, except in cases where the provisions of P.L.2008, c.60 are applicable,</w:t>
      </w:r>
      <w:r w:rsidRPr="00D85A9B">
        <w:t xml:space="preserve"> a hospital </w:t>
      </w:r>
      <w:r>
        <w:t>will</w:t>
      </w:r>
      <w:r w:rsidRPr="00D85A9B">
        <w:t xml:space="preserve"> be prohibited from charging a patient </w:t>
      </w:r>
      <w:r>
        <w:t xml:space="preserve">in </w:t>
      </w:r>
      <w:r w:rsidRPr="00D85A9B">
        <w:t xml:space="preserve">this State more than 150% of the applicable payment rate under the federal Medicare program for any laboratory services that are rendered to the patient.  </w:t>
      </w:r>
      <w:r>
        <w:t>The existing 115% cap established under P.L.2008, c.60 would still be applicable to laboratory and other health care services that are provided by a hospital to uninsured persons who satisfy the applicable income requirements.</w:t>
      </w:r>
    </w:p>
    <w:sectPr w:rsidR="009A28A8" w:rsidSect="003D2DB8">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0F56" w:rsidRDefault="00270F56">
      <w:r>
        <w:separator/>
      </w:r>
    </w:p>
  </w:endnote>
  <w:endnote w:type="continuationSeparator" w:id="0">
    <w:p w:rsidR="00270F56" w:rsidRDefault="00270F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0F56" w:rsidRDefault="00270F56">
      <w:r>
        <w:separator/>
      </w:r>
    </w:p>
  </w:footnote>
  <w:footnote w:type="continuationSeparator" w:id="0">
    <w:p w:rsidR="00270F56" w:rsidRDefault="00270F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F0C1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D2DB8" w:rsidRDefault="003D2DB8" w:rsidP="003D2DB8">
    <w:pPr>
      <w:pStyle w:val="bpuHeadSpon"/>
    </w:pPr>
    <w:r w:rsidRPr="003D2DB8">
      <w:rPr>
        <w:rStyle w:val="bpuHeadSponChar"/>
      </w:rPr>
      <w:t>S2081</w:t>
    </w:r>
    <w:r>
      <w:t xml:space="preserve"> CODEY, VITALE</w:t>
    </w:r>
  </w:p>
  <w:p w:rsidR="003D2DB8" w:rsidRDefault="003D2DB8" w:rsidP="003D2DB8">
    <w:pPr>
      <w:pStyle w:val="bpuHeadSpon"/>
    </w:pPr>
    <w:r>
      <w:fldChar w:fldCharType="begin"/>
    </w:r>
    <w:r>
      <w:instrText xml:space="preserve"> PAGE  \* MERGEFORMAT </w:instrText>
    </w:r>
    <w:r>
      <w:fldChar w:fldCharType="separate"/>
    </w:r>
    <w:r w:rsidR="002112D5">
      <w:rPr>
        <w:noProof/>
      </w:rPr>
      <w:t>3</w:t>
    </w:r>
    <w:r>
      <w:fldChar w:fldCharType="end"/>
    </w:r>
  </w:p>
  <w:p w:rsidR="003D2DB8" w:rsidRDefault="003D2DB8" w:rsidP="003D2DB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D2DB8" w:rsidRDefault="003D2DB8" w:rsidP="003D2DB8">
    <w:pPr>
      <w:pStyle w:val="bpuHeadSpon"/>
    </w:pPr>
    <w:r w:rsidRPr="003D2DB8">
      <w:rPr>
        <w:rStyle w:val="bpuHeadSponChar"/>
      </w:rPr>
      <w:t>S2081</w:t>
    </w:r>
    <w:r>
      <w:t xml:space="preserve"> CODEY, VITALE</w:t>
    </w:r>
  </w:p>
  <w:p w:rsidR="003D2DB8" w:rsidRDefault="003D2DB8" w:rsidP="003D2DB8">
    <w:pPr>
      <w:pStyle w:val="bpuHeadSpon"/>
    </w:pPr>
    <w:r>
      <w:fldChar w:fldCharType="begin"/>
    </w:r>
    <w:r>
      <w:instrText xml:space="preserve"> PAGE  \* MERGEFORMAT </w:instrText>
    </w:r>
    <w:r>
      <w:fldChar w:fldCharType="separate"/>
    </w:r>
    <w:r w:rsidR="008F0C1F">
      <w:rPr>
        <w:noProof/>
      </w:rPr>
      <w:t>2</w:t>
    </w:r>
    <w:r>
      <w:fldChar w:fldCharType="end"/>
    </w:r>
  </w:p>
  <w:p w:rsidR="003D2DB8" w:rsidRDefault="003D2DB8" w:rsidP="003D2DB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F56"/>
    <w:rsid w:val="000051BD"/>
    <w:rsid w:val="000160A5"/>
    <w:rsid w:val="0002335B"/>
    <w:rsid w:val="0003549A"/>
    <w:rsid w:val="000367AE"/>
    <w:rsid w:val="00043B22"/>
    <w:rsid w:val="0004739D"/>
    <w:rsid w:val="00054975"/>
    <w:rsid w:val="00057D20"/>
    <w:rsid w:val="0006197C"/>
    <w:rsid w:val="0006281F"/>
    <w:rsid w:val="00071873"/>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12D5"/>
    <w:rsid w:val="00212B8D"/>
    <w:rsid w:val="00216DDD"/>
    <w:rsid w:val="00222983"/>
    <w:rsid w:val="002370D0"/>
    <w:rsid w:val="00255958"/>
    <w:rsid w:val="00257FA2"/>
    <w:rsid w:val="0026574A"/>
    <w:rsid w:val="002660BB"/>
    <w:rsid w:val="00270F56"/>
    <w:rsid w:val="002720E8"/>
    <w:rsid w:val="00275293"/>
    <w:rsid w:val="002776B0"/>
    <w:rsid w:val="00286C7E"/>
    <w:rsid w:val="00296600"/>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2DB8"/>
    <w:rsid w:val="003E26D4"/>
    <w:rsid w:val="003E47BA"/>
    <w:rsid w:val="003F3B37"/>
    <w:rsid w:val="0040195A"/>
    <w:rsid w:val="00402DC0"/>
    <w:rsid w:val="00405D7A"/>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0D97"/>
    <w:rsid w:val="004C742C"/>
    <w:rsid w:val="004E1F3E"/>
    <w:rsid w:val="004F21BD"/>
    <w:rsid w:val="004F4F1D"/>
    <w:rsid w:val="004F74DD"/>
    <w:rsid w:val="00501317"/>
    <w:rsid w:val="0050495C"/>
    <w:rsid w:val="00505DC9"/>
    <w:rsid w:val="00506E1E"/>
    <w:rsid w:val="00513C81"/>
    <w:rsid w:val="00527BFB"/>
    <w:rsid w:val="00532A32"/>
    <w:rsid w:val="00540B0B"/>
    <w:rsid w:val="005439A7"/>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2A73"/>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0C1F"/>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28A8"/>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790F"/>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9D617735-FED0-4E27-A26B-38D2527A4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D2D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368</Words>
  <Characters>1975</Characters>
  <Application>Microsoft Office Word</Application>
  <DocSecurity>0</DocSecurity>
  <Lines>66</Lines>
  <Paragraphs>20</Paragraphs>
  <ScaleCrop>false</ScaleCrop>
  <HeadingPairs>
    <vt:vector size="2" baseType="variant">
      <vt:variant>
        <vt:lpstr>Title</vt:lpstr>
      </vt:variant>
      <vt:variant>
        <vt:i4>1</vt:i4>
      </vt:variant>
    </vt:vector>
  </HeadingPairs>
  <TitlesOfParts>
    <vt:vector size="1" baseType="lpstr">
      <vt:lpstr>S2081</vt:lpstr>
    </vt:vector>
  </TitlesOfParts>
  <Manager>R224</Manager>
  <Company>NJ Office of Legislative Services</Company>
  <LinksUpToDate>false</LinksUpToDate>
  <CharactersWithSpaces>2343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S2081</dc:title>
  <dc:subject>20-2122</dc:subject>
  <dc:creator>Senator  CODEY, Senator  VITALE</dc:creator>
  <cp:keywords>S2081|2|HS |254|0|254|F|0|</cp:keywords>
  <dc:description>INTRODUCED MARCH 16, 2020</dc:description>
  <cp:lastModifiedBy>Franks, Denise</cp:lastModifiedBy>
  <cp:revision>2</cp:revision>
  <cp:lastPrinted>2020-03-11T14:10:00Z</cp:lastPrinted>
  <dcterms:created xsi:type="dcterms:W3CDTF">2020-03-17T13:41:00Z</dcterms:created>
  <dcterms:modified xsi:type="dcterms:W3CDTF">2020-03-17T13:41:00Z</dcterms:modified>
  <cp:category>s.1 to C.26:2H-12.52a; s.2 – eff. date to 2019/393_x000d_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