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617763" w:rsidRDefault="00DA6F1D" w:rsidP="00DA6F1D">
      <w:pPr>
        <w:pStyle w:val="NormalFloor"/>
        <w:jc w:val="center"/>
      </w:pPr>
    </w:p>
    <w:p w:rsidR="00DA6F1D" w:rsidRDefault="00ED23B2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2130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ED23B2">
        <w:t>Senate Floor Amendments</w:t>
      </w:r>
    </w:p>
    <w:p w:rsidR="00DA6F1D" w:rsidRDefault="00ED23B2" w:rsidP="00DA6F1D">
      <w:pPr>
        <w:pStyle w:val="NormalFloor"/>
        <w:jc w:val="center"/>
      </w:pPr>
      <w:r>
        <w:t>(Proposed by Senator GILL)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ED23B2">
        <w:t>DECEMBER 2,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ED23B2" w:rsidRDefault="00ED23B2" w:rsidP="00ED23B2">
      <w:r>
        <w:tab/>
        <w:t>This floor amendment:</w:t>
      </w:r>
    </w:p>
    <w:p w:rsidR="00ED23B2" w:rsidRDefault="00ED23B2" w:rsidP="00ED23B2">
      <w:r>
        <w:tab/>
        <w:t>(1)</w:t>
      </w:r>
      <w:r>
        <w:tab/>
        <w:t>requires that a bidder intending to occupy the property as the bidder’s primary residence occupy the property for a period of at least 84 months, and allow the sheriff to oversee occupancy of the property in that occupancy period, rather than the current 72-month occupancy period;</w:t>
      </w:r>
    </w:p>
    <w:p w:rsidR="00ED23B2" w:rsidRDefault="00ED23B2" w:rsidP="00ED23B2">
      <w:r>
        <w:tab/>
        <w:t>(2)</w:t>
      </w:r>
      <w:r>
        <w:tab/>
        <w:t>exempts a foreclosed upon defendant and foreclosed upon defendant’s next of kin from the 84-month occupancy requirement for bidders intending to occupy the property as the bidder’s primary address;</w:t>
      </w:r>
    </w:p>
    <w:p w:rsidR="00ED23B2" w:rsidRDefault="00ED23B2" w:rsidP="00ED23B2">
      <w:r>
        <w:tab/>
        <w:t>(3)</w:t>
      </w:r>
      <w:r>
        <w:tab/>
        <w:t>eliminates the requirement that a foreclosed upon defendant or a foreclosed upon defendant’s next of kin secure financing or assets sufficient to meet terms offered by the foreclosing plaintiff prior to the close of business on the banking day before a sheriff’s sale is scheduled to occur on the foreclosing property;</w:t>
      </w:r>
    </w:p>
    <w:p w:rsidR="00ED23B2" w:rsidRDefault="00ED23B2" w:rsidP="00ED23B2">
      <w:r>
        <w:tab/>
        <w:t>(4)</w:t>
      </w:r>
      <w:r>
        <w:tab/>
        <w:t xml:space="preserve">permits bidders purchasing property at a sheriff’s sale by way of financing to be pre-approved by residential mortgage lending financial institutions, as specified in the bill; </w:t>
      </w:r>
    </w:p>
    <w:p w:rsidR="00ED23B2" w:rsidRDefault="00ED23B2" w:rsidP="00ED23B2">
      <w:r>
        <w:tab/>
        <w:t>(5)</w:t>
      </w:r>
      <w:r>
        <w:tab/>
        <w:t>removes requirement for using a New Jersey Housing and Mortgage Finance Agency participating lender list;</w:t>
      </w:r>
    </w:p>
    <w:p w:rsidR="00ED23B2" w:rsidRDefault="00ED23B2" w:rsidP="00ED23B2">
      <w:r>
        <w:tab/>
        <w:t>(6)</w:t>
      </w:r>
      <w:r>
        <w:tab/>
        <w:t>exempts a bidder subject to a 84-month occupancy period from penalties in the event of divorce, disability, or spousal death or disability;</w:t>
      </w:r>
    </w:p>
    <w:p w:rsidR="00ED23B2" w:rsidRDefault="00ED23B2" w:rsidP="00ED23B2">
      <w:r>
        <w:tab/>
        <w:t>(7)</w:t>
      </w:r>
      <w:r>
        <w:tab/>
        <w:t>removes penalties to bidder who is unable to complete a transaction through no fault of their own; and</w:t>
      </w:r>
    </w:p>
    <w:p w:rsidR="00ED23B2" w:rsidRDefault="00ED23B2" w:rsidP="00ED23B2">
      <w:r>
        <w:tab/>
        <w:t>(8)</w:t>
      </w:r>
      <w:r>
        <w:tab/>
        <w:t>places the responsibility of providing program information in plain language and any language spoken by 10 percent or more of a county on individual sheriff’s offices.</w:t>
      </w:r>
    </w:p>
    <w:sectPr w:rsidR="00ED23B2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B145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17763"/>
    <w:rsid w:val="00693CE7"/>
    <w:rsid w:val="006B2FD5"/>
    <w:rsid w:val="007F5773"/>
    <w:rsid w:val="0080306A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ED23B2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DC1D0103-93E5-4CAB-992F-9D229F05B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1398</Characters>
  <Application>Microsoft Office Word</Application>
  <DocSecurity>0</DocSecurity>
  <Lines>38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S2130 Senate DECEMBER 2, 2021</vt:lpstr>
    </vt:vector>
  </TitlesOfParts>
  <Manager>R225</Manager>
  <Company>Office of Legislative Services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S2130 Senate Statement 12/2/21</dc:title>
  <dc:subject/>
  <dc:creator>Senate</dc:creator>
  <cp:keywords>S2130|1|CL |318|0|0|!|0|</cp:keywords>
  <dc:description/>
  <cp:lastModifiedBy>Siracusa, Nicole</cp:lastModifiedBy>
  <cp:revision>2</cp:revision>
  <dcterms:created xsi:type="dcterms:W3CDTF">2021-12-03T17:22:00Z</dcterms:created>
  <dcterms:modified xsi:type="dcterms:W3CDTF">2021-12-03T17:22:00Z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