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75" w:rsidRDefault="00574075" w:rsidP="00574075">
      <w:pPr>
        <w:pStyle w:val="bpuReprint"/>
      </w:pPr>
      <w:bookmarkStart w:id="0" w:name="_GoBack"/>
      <w:bookmarkEnd w:id="0"/>
    </w:p>
    <w:p w:rsidR="00FC5B57" w:rsidRDefault="00FC5B57" w:rsidP="00574075">
      <w:pPr>
        <w:pStyle w:val="bpuReprint"/>
      </w:pPr>
      <w:r>
        <w:t>[First Reprint]</w:t>
      </w:r>
    </w:p>
    <w:p w:rsidR="00E72CDB" w:rsidRDefault="00E72CDB" w:rsidP="00E72CDB">
      <w:pPr>
        <w:pStyle w:val="bpuBill"/>
      </w:pPr>
      <w:r>
        <w:t xml:space="preserve">SENATE, No. 2160 </w:t>
      </w:r>
    </w:p>
    <w:p w:rsidR="00E72CDB" w:rsidRPr="009D38FF" w:rsidRDefault="00E72CDB" w:rsidP="00E72C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1438" r:id="rId7"/>
        </w:object>
      </w:r>
    </w:p>
    <w:p w:rsidR="00E72CDB" w:rsidRDefault="00E72CDB" w:rsidP="00E72CDB">
      <w:pPr>
        <w:pStyle w:val="bpuState"/>
      </w:pPr>
      <w:r>
        <w:t>STATE OF NEW JERSEY</w:t>
      </w:r>
    </w:p>
    <w:p w:rsidR="00E72CDB" w:rsidRDefault="00E72CDB" w:rsidP="00E72CDB">
      <w:pPr>
        <w:pStyle w:val="bpuLegislature"/>
      </w:pPr>
      <w:r>
        <w:t>219th LEGISLATURE</w:t>
      </w:r>
    </w:p>
    <w:p w:rsidR="00E72CDB" w:rsidRDefault="00E72CDB" w:rsidP="00E72CDB">
      <w:pPr>
        <w:pStyle w:val="bpuWpGraphic"/>
      </w:pPr>
      <w:r>
        <w:object w:dxaOrig="8985" w:dyaOrig="255">
          <v:shape id="_x0000_i1026" type="#_x0000_t75" style="width:6in;height:12pt" o:ole="">
            <v:imagedata r:id="rId6" o:title=""/>
          </v:shape>
          <o:OLEObject Type="Embed" ProgID="WPWin6.1" ShapeID="_x0000_i1026" DrawAspect="Content" ObjectID="_1686391439" r:id="rId8"/>
        </w:object>
      </w:r>
      <w:r>
        <w:t xml:space="preserve">  </w:t>
      </w:r>
    </w:p>
    <w:p w:rsidR="00E72CDB" w:rsidRDefault="00E72CDB" w:rsidP="00E72CDB">
      <w:pPr>
        <w:pStyle w:val="bpuIntro"/>
      </w:pPr>
      <w:r>
        <w:t>INTRODUCED MARCH 16, 2020</w:t>
      </w:r>
    </w:p>
    <w:p w:rsidR="00E72CDB" w:rsidRDefault="00E72CDB" w:rsidP="00E72CDB">
      <w:pPr>
        <w:pStyle w:val="bpuIntro"/>
      </w:pPr>
    </w:p>
    <w:p w:rsidR="00E72CDB" w:rsidRDefault="00E72CDB" w:rsidP="00E72CDB">
      <w:pPr>
        <w:pStyle w:val="bpuIntro"/>
        <w:sectPr w:rsidR="00E72CDB" w:rsidSect="005740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CDB" w:rsidRDefault="00E72CDB" w:rsidP="00E72CDB">
      <w:pPr>
        <w:pStyle w:val="bpuIntro"/>
      </w:pPr>
    </w:p>
    <w:p w:rsidR="00E72CDB" w:rsidRDefault="00E72CDB" w:rsidP="00E72CDB">
      <w:pPr>
        <w:pStyle w:val="bpuSponsor"/>
      </w:pPr>
      <w:r>
        <w:t>Sponsored by:</w:t>
      </w:r>
    </w:p>
    <w:p w:rsidR="00E72CDB" w:rsidRDefault="00E72CDB" w:rsidP="00E72CDB">
      <w:pPr>
        <w:pStyle w:val="bpuSponsor"/>
      </w:pPr>
      <w:r>
        <w:t>Senator  STEPHEN M. SWEENEY</w:t>
      </w:r>
    </w:p>
    <w:p w:rsidR="00E72CDB" w:rsidRDefault="00E72CDB" w:rsidP="00E72CDB">
      <w:pPr>
        <w:pStyle w:val="bpuSponsor"/>
      </w:pPr>
      <w:r>
        <w:t>District 3 (Cumberland, Gloucester and Salem)</w:t>
      </w:r>
    </w:p>
    <w:p w:rsidR="00E72CDB" w:rsidRDefault="00A564CA" w:rsidP="00A564CA">
      <w:pPr>
        <w:pStyle w:val="bpuSponsor"/>
      </w:pPr>
      <w:r>
        <w:t>Senator  STEVEN V. OROHO</w:t>
      </w:r>
    </w:p>
    <w:p w:rsidR="00A564CA" w:rsidRDefault="00A564CA" w:rsidP="00A564CA">
      <w:pPr>
        <w:pStyle w:val="bpuSponsor"/>
      </w:pPr>
      <w:r>
        <w:t>District 24 (Morris, Sussex and Warren)</w:t>
      </w:r>
    </w:p>
    <w:p w:rsidR="00A564CA" w:rsidRDefault="00D71798" w:rsidP="00D71798">
      <w:pPr>
        <w:pStyle w:val="bpuSponsor"/>
      </w:pPr>
      <w:r>
        <w:t>Senator  ROBERT W. SINGER</w:t>
      </w:r>
    </w:p>
    <w:p w:rsidR="00D71798" w:rsidRDefault="00D71798" w:rsidP="00D71798">
      <w:pPr>
        <w:pStyle w:val="bpuSponsor"/>
      </w:pPr>
      <w:r>
        <w:t>District 30 (Monmouth and Ocean)</w:t>
      </w:r>
    </w:p>
    <w:p w:rsidR="00D71798" w:rsidRDefault="00574075" w:rsidP="00574075">
      <w:pPr>
        <w:pStyle w:val="bpuSponsor"/>
      </w:pPr>
      <w:r>
        <w:t>Assemblywoman  LINDA S. CARTER</w:t>
      </w:r>
    </w:p>
    <w:p w:rsidR="00574075" w:rsidRDefault="00574075" w:rsidP="00574075">
      <w:pPr>
        <w:pStyle w:val="bpuSponsor"/>
      </w:pPr>
      <w:r>
        <w:t>District 22 (Middlesex, Somerset and Union)</w:t>
      </w:r>
    </w:p>
    <w:p w:rsidR="00574075" w:rsidRDefault="00574075" w:rsidP="00574075">
      <w:pPr>
        <w:pStyle w:val="bpuSponsor"/>
      </w:pPr>
      <w:r>
        <w:t>Assemblywoman  PAMELA R. LAMPITT</w:t>
      </w:r>
    </w:p>
    <w:p w:rsidR="00574075" w:rsidRDefault="00574075" w:rsidP="00574075">
      <w:pPr>
        <w:pStyle w:val="bpuSponsor"/>
      </w:pPr>
      <w:r>
        <w:t>District 6 (Burlington and Camden)</w:t>
      </w:r>
    </w:p>
    <w:p w:rsidR="00574075" w:rsidRDefault="00574075" w:rsidP="00574075">
      <w:pPr>
        <w:pStyle w:val="bpuSponsor"/>
      </w:pPr>
      <w:r>
        <w:t>Assemblywoman  MILA M. JASEY</w:t>
      </w:r>
    </w:p>
    <w:p w:rsidR="00574075" w:rsidRDefault="00574075" w:rsidP="00574075">
      <w:pPr>
        <w:pStyle w:val="bpuSponsor"/>
      </w:pPr>
      <w:r>
        <w:t>District 27 (Essex and Morris)</w:t>
      </w:r>
    </w:p>
    <w:p w:rsidR="00574075" w:rsidRPr="00574075" w:rsidRDefault="00574075" w:rsidP="00574075"/>
    <w:p w:rsidR="00905B12" w:rsidRDefault="00574075" w:rsidP="00574075">
      <w:pPr>
        <w:pStyle w:val="bpuSponsor"/>
      </w:pPr>
      <w:r>
        <w:t>Co-Sponsored by:</w:t>
      </w:r>
    </w:p>
    <w:p w:rsidR="00574075" w:rsidRPr="00574075" w:rsidRDefault="00574075" w:rsidP="00574075">
      <w:pPr>
        <w:pStyle w:val="bpuSponsor"/>
      </w:pPr>
      <w:r w:rsidRPr="00574075">
        <w:t xml:space="preserve">Senators </w:t>
      </w:r>
      <w:proofErr w:type="spellStart"/>
      <w:r w:rsidRPr="00574075">
        <w:t>Corrado</w:t>
      </w:r>
      <w:proofErr w:type="spellEnd"/>
      <w:r w:rsidRPr="00574075">
        <w:t xml:space="preserve">, </w:t>
      </w:r>
      <w:proofErr w:type="spellStart"/>
      <w:r w:rsidRPr="00574075">
        <w:t>Holzapfel</w:t>
      </w:r>
      <w:proofErr w:type="spellEnd"/>
      <w:r w:rsidRPr="00574075">
        <w:t xml:space="preserve">, Singleton, </w:t>
      </w:r>
      <w:proofErr w:type="spellStart"/>
      <w:r w:rsidRPr="00574075">
        <w:t>O'Scanlon</w:t>
      </w:r>
      <w:proofErr w:type="spellEnd"/>
      <w:r w:rsidRPr="00574075">
        <w:t xml:space="preserve">, </w:t>
      </w:r>
      <w:proofErr w:type="spellStart"/>
      <w:r w:rsidRPr="00574075">
        <w:t>Pou</w:t>
      </w:r>
      <w:proofErr w:type="spellEnd"/>
      <w:r w:rsidRPr="00574075">
        <w:t xml:space="preserve">, Assemblywoman </w:t>
      </w:r>
      <w:proofErr w:type="spellStart"/>
      <w:r w:rsidRPr="00574075">
        <w:t>Vainieri</w:t>
      </w:r>
      <w:proofErr w:type="spellEnd"/>
      <w:r w:rsidRPr="00574075">
        <w:t xml:space="preserve"> </w:t>
      </w:r>
      <w:proofErr w:type="spellStart"/>
      <w:r w:rsidRPr="00574075">
        <w:t>Huttle</w:t>
      </w:r>
      <w:proofErr w:type="spellEnd"/>
      <w:r w:rsidRPr="00574075">
        <w:t xml:space="preserve">, Assemblymen </w:t>
      </w:r>
      <w:proofErr w:type="spellStart"/>
      <w:r w:rsidRPr="00574075">
        <w:t>Wirths</w:t>
      </w:r>
      <w:proofErr w:type="spellEnd"/>
      <w:r w:rsidRPr="00574075">
        <w:t>, Space, Johnson, Tully and Assemblywoman Speight</w:t>
      </w:r>
    </w:p>
    <w:p w:rsidR="00905B12" w:rsidRPr="00905B12" w:rsidRDefault="00905B12" w:rsidP="00905B12"/>
    <w:p w:rsidR="00D71798" w:rsidRPr="00950892" w:rsidRDefault="00D71798" w:rsidP="00950892"/>
    <w:p w:rsidR="00E72CDB" w:rsidRDefault="00E72CDB" w:rsidP="00E72CDB">
      <w:pPr>
        <w:pStyle w:val="bpuSponsor"/>
      </w:pPr>
    </w:p>
    <w:p w:rsidR="00E72CDB" w:rsidRDefault="00E72CDB" w:rsidP="00E72CDB">
      <w:pPr>
        <w:pStyle w:val="bpuSponsor"/>
      </w:pPr>
    </w:p>
    <w:p w:rsidR="00E72CDB" w:rsidRDefault="00E72CDB" w:rsidP="00E72CDB">
      <w:pPr>
        <w:pStyle w:val="bpuSponsor"/>
      </w:pPr>
      <w:r>
        <w:t>SYNOPSIS</w:t>
      </w:r>
    </w:p>
    <w:p w:rsidR="00E72CDB" w:rsidRDefault="00E72CDB" w:rsidP="00E72CDB">
      <w:pPr>
        <w:pStyle w:val="bpuNormText"/>
      </w:pPr>
      <w:r>
        <w:tab/>
        <w:t xml:space="preserve">Creates special education unit within the Office of Administrative Law; requires annual report. </w:t>
      </w:r>
    </w:p>
    <w:p w:rsidR="00E72CDB" w:rsidRDefault="00E72CDB" w:rsidP="00E72CDB">
      <w:pPr>
        <w:pStyle w:val="bpuNormText"/>
      </w:pPr>
    </w:p>
    <w:p w:rsidR="00E72CDB" w:rsidRDefault="00E72CDB" w:rsidP="00E72CDB">
      <w:pPr>
        <w:pStyle w:val="bpuSponsor"/>
      </w:pPr>
      <w:r>
        <w:t xml:space="preserve">CURRENT VERSION OF TEXT </w:t>
      </w:r>
    </w:p>
    <w:p w:rsidR="00E72CDB" w:rsidRDefault="00FC5B57" w:rsidP="00E72CDB">
      <w:pPr>
        <w:pStyle w:val="bpuNormText"/>
      </w:pPr>
      <w:r>
        <w:tab/>
        <w:t>As reported by the Senate Budget and Appropriations Committee on May 20, 2021, with amendments.</w:t>
      </w:r>
    </w:p>
    <w:p w:rsidR="00E72CDB" w:rsidRDefault="00E72CDB" w:rsidP="00E72C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CDB" w:rsidRDefault="00E72CDB" w:rsidP="008916EC">
      <w:pPr>
        <w:pStyle w:val="FronterPage"/>
        <w:tabs>
          <w:tab w:val="clear" w:pos="720"/>
          <w:tab w:val="clear" w:pos="1440"/>
          <w:tab w:val="clear" w:pos="2160"/>
          <w:tab w:val="clear" w:pos="2880"/>
          <w:tab w:val="clear" w:pos="3600"/>
          <w:tab w:val="clear" w:pos="4320"/>
          <w:tab w:val="clear" w:pos="5040"/>
        </w:tabs>
        <w:sectPr w:rsidR="00E72CDB" w:rsidSect="00E72CDB">
          <w:type w:val="continuous"/>
          <w:pgSz w:w="12240" w:h="20160" w:code="5"/>
          <w:pgMar w:top="1440" w:right="2275" w:bottom="1440" w:left="2275" w:header="72" w:footer="720" w:gutter="0"/>
          <w:pgNumType w:start="1"/>
          <w:cols w:space="720"/>
          <w:docGrid w:linePitch="360"/>
        </w:sectPr>
      </w:pPr>
    </w:p>
    <w:p w:rsidR="00CD6C55" w:rsidRPr="00677316" w:rsidRDefault="00CD6C55" w:rsidP="00CD6C55">
      <w:pPr>
        <w:pStyle w:val="HangingAnAct"/>
        <w:rPr>
          <w:rStyle w:val="HangingAnActChar"/>
        </w:rPr>
      </w:pPr>
      <w:r w:rsidRPr="00CD6C55">
        <w:rPr>
          <w:rStyle w:val="BillHead"/>
        </w:rPr>
        <w:lastRenderedPageBreak/>
        <w:t>An Act</w:t>
      </w:r>
      <w:r w:rsidRPr="006B7FA7">
        <w:rPr>
          <w:rStyle w:val="HangingAnActChar"/>
        </w:rPr>
        <w:t xml:space="preserve"> </w:t>
      </w:r>
      <w:r>
        <w:t>concerning the Office of Administrative Law and special education and supplementing Title 52 of the Revised Statutes.</w:t>
      </w:r>
    </w:p>
    <w:p w:rsidR="00CD6C55" w:rsidRPr="00D71D68" w:rsidRDefault="00CD6C55" w:rsidP="00CD6C55"/>
    <w:p w:rsidR="00CD6C55" w:rsidRPr="00AA7880" w:rsidRDefault="00CD6C55" w:rsidP="00CD6C55">
      <w:r>
        <w:tab/>
      </w:r>
      <w:r>
        <w:rPr>
          <w:rStyle w:val="BillHeading2"/>
        </w:rPr>
        <w:t xml:space="preserve">Be It Enacted </w:t>
      </w:r>
      <w:r>
        <w:rPr>
          <w:rStyle w:val="BillLanguage"/>
        </w:rPr>
        <w:t>by the Senate and General Assembly of the State of New Jersey:</w:t>
      </w:r>
    </w:p>
    <w:p w:rsidR="00CD6C55" w:rsidRDefault="00CD6C55" w:rsidP="00CD6C55"/>
    <w:p w:rsidR="00FC5B57" w:rsidRPr="002D0760" w:rsidRDefault="00FC5B57" w:rsidP="00FC5B57">
      <w:pPr>
        <w:tabs>
          <w:tab w:val="left" w:pos="1170"/>
        </w:tabs>
      </w:pPr>
      <w:r>
        <w:tab/>
        <w:t>1.</w:t>
      </w:r>
      <w:r>
        <w:tab/>
        <w:t>a.</w:t>
      </w:r>
      <w:r>
        <w:tab/>
        <w:t xml:space="preserve">The Director and Chief Administrative Law Judge of the Office of Administrative Law shall establish within the Office of Administrative Law a special education unit consisting of administrative law judges having expertise in special education law.  </w:t>
      </w:r>
      <w:r w:rsidRPr="002D0760">
        <w:t xml:space="preserve">The </w:t>
      </w:r>
      <w:r>
        <w:rPr>
          <w:rFonts w:ascii="Albertus Extra Bold" w:hAnsi="Albertus Extra Bold"/>
          <w:b/>
          <w:vertAlign w:val="superscript"/>
        </w:rPr>
        <w:t>1</w:t>
      </w:r>
      <w:r w:rsidRPr="00E86BB5">
        <w:rPr>
          <w:rFonts w:ascii="Albertus Extra Bold" w:hAnsi="Albertus Extra Bold"/>
          <w:b/>
        </w:rPr>
        <w:t>[</w:t>
      </w:r>
      <w:r w:rsidRPr="002D0760">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2D0760">
        <w:t xml:space="preserve"> and Chief Administrative Law Judge shall ensure that the administrative law judges in the special education unit include individuals with a wide range of special education law expertise, including expertise as school board attorneys and as parent and</w:t>
      </w:r>
      <w:r w:rsidRPr="00E86BB5">
        <w:t xml:space="preserve"> </w:t>
      </w:r>
      <w:r w:rsidRPr="002D0760">
        <w:t>student advocates.  The number of administrative law judges in the</w:t>
      </w:r>
      <w:r>
        <w:t xml:space="preserve"> special education unit shall be proportional to the number and complexity of special education cases referred to the office </w:t>
      </w:r>
      <w:r w:rsidRPr="002D0760">
        <w:t>and shall</w:t>
      </w:r>
      <w:r w:rsidRPr="00E86BB5">
        <w:t xml:space="preserve"> </w:t>
      </w:r>
      <w:r w:rsidRPr="002D0760">
        <w:t xml:space="preserve">be of a sufficient number to render decisions within the </w:t>
      </w:r>
      <w:r>
        <w:rPr>
          <w:rFonts w:ascii="Albertus Extra Bold" w:hAnsi="Albertus Extra Bold"/>
          <w:b/>
          <w:vertAlign w:val="superscript"/>
        </w:rPr>
        <w:t>1</w:t>
      </w:r>
      <w:r w:rsidRPr="00E86BB5">
        <w:rPr>
          <w:rFonts w:ascii="Albertus Extra Bold" w:hAnsi="Albertus Extra Bold"/>
          <w:b/>
        </w:rPr>
        <w:t>[</w:t>
      </w:r>
      <w:r w:rsidRPr="002D0760">
        <w:t>federal and State mandated time period</w:t>
      </w:r>
      <w:r w:rsidRPr="00E86BB5">
        <w:rPr>
          <w:rFonts w:ascii="Albertus Extra Bold" w:hAnsi="Albertus Extra Bold"/>
          <w:b/>
        </w:rPr>
        <w:t>]</w:t>
      </w:r>
      <w:r w:rsidRPr="00E86BB5">
        <w:t xml:space="preserve"> </w:t>
      </w:r>
      <w:r w:rsidRPr="00E86BB5">
        <w:rPr>
          <w:u w:val="single"/>
        </w:rPr>
        <w:t>time periods mandated under federal and State law</w:t>
      </w:r>
      <w:r>
        <w:rPr>
          <w:rFonts w:ascii="Albertus Extra Bold" w:hAnsi="Albertus Extra Bold"/>
          <w:b/>
          <w:vertAlign w:val="superscript"/>
        </w:rPr>
        <w:t>1</w:t>
      </w:r>
      <w:r>
        <w:t xml:space="preserve"> </w:t>
      </w:r>
      <w:r w:rsidRPr="002D0760">
        <w:t xml:space="preserve">.  The </w:t>
      </w:r>
      <w:r>
        <w:rPr>
          <w:rFonts w:ascii="Albertus Extra Bold" w:hAnsi="Albertus Extra Bold"/>
          <w:b/>
          <w:vertAlign w:val="superscript"/>
        </w:rPr>
        <w:t>1</w:t>
      </w:r>
      <w:r w:rsidRPr="00E86BB5">
        <w:rPr>
          <w:rFonts w:ascii="Albertus Extra Bold" w:hAnsi="Albertus Extra Bold"/>
          <w:b/>
        </w:rPr>
        <w:t>[</w:t>
      </w:r>
      <w:r w:rsidRPr="002D0760">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2D0760">
        <w:t xml:space="preserve"> and Chief Administrative Law Judge may appoint administrative law judges to the special education unit on a temporary or case basis as need arises.  </w:t>
      </w:r>
    </w:p>
    <w:p w:rsidR="00FC5B57" w:rsidRDefault="00FC5B57" w:rsidP="00FC5B57">
      <w:r>
        <w:tab/>
        <w:t>b.</w:t>
      </w:r>
      <w:r>
        <w:tab/>
        <w:t xml:space="preserve">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  </w:t>
      </w:r>
    </w:p>
    <w:p w:rsidR="00CD6C55" w:rsidRDefault="00CD6C55" w:rsidP="00CD6C55"/>
    <w:p w:rsidR="00FC5B57" w:rsidRPr="00E86BB5" w:rsidRDefault="00FC5B57" w:rsidP="00FC5B57">
      <w:r>
        <w:tab/>
      </w:r>
      <w:r w:rsidRPr="00E86BB5">
        <w:t xml:space="preserve">2.  The </w:t>
      </w:r>
      <w:r>
        <w:rPr>
          <w:rFonts w:ascii="Albertus Extra Bold" w:hAnsi="Albertus Extra Bold"/>
          <w:b/>
          <w:vertAlign w:val="superscript"/>
        </w:rPr>
        <w:t>1</w:t>
      </w:r>
      <w:r w:rsidRPr="00E86BB5">
        <w:rPr>
          <w:rFonts w:ascii="Albertus Extra Bold" w:hAnsi="Albertus Extra Bold"/>
          <w:b/>
        </w:rPr>
        <w:t>[</w:t>
      </w:r>
      <w:r w:rsidRPr="00E86BB5">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E86BB5">
        <w:t xml:space="preserve"> and Chief Administrative Law Judge shall prepare an annual report to the Governor and, pursuant to section 2 of P.L.1991, c.164 (C.52:14-19.1), to the Legislature</w:t>
      </w:r>
      <w:r>
        <w:t xml:space="preserve"> </w:t>
      </w:r>
      <w:r>
        <w:rPr>
          <w:rFonts w:ascii="Albertus Extra Bold" w:hAnsi="Albertus Extra Bold"/>
          <w:b/>
          <w:vertAlign w:val="superscript"/>
        </w:rPr>
        <w:t>1</w:t>
      </w:r>
      <w:r w:rsidRPr="00EB0055">
        <w:rPr>
          <w:u w:val="single"/>
        </w:rPr>
        <w:t>,</w:t>
      </w:r>
      <w:r>
        <w:rPr>
          <w:rFonts w:ascii="Albertus Extra Bold" w:hAnsi="Albertus Extra Bold"/>
          <w:b/>
          <w:vertAlign w:val="superscript"/>
        </w:rPr>
        <w:t>1</w:t>
      </w:r>
      <w:r w:rsidRPr="00E86BB5">
        <w:t xml:space="preserve"> regarding the special education unit established under section 1 of P.L.   </w:t>
      </w:r>
      <w:r>
        <w:t xml:space="preserve"> </w:t>
      </w:r>
      <w:r w:rsidRPr="00E86BB5">
        <w:t xml:space="preserve">c.  </w:t>
      </w:r>
      <w:r>
        <w:t xml:space="preserve">  </w:t>
      </w:r>
      <w:r w:rsidRPr="00E86BB5">
        <w:t xml:space="preserve">(C.      </w:t>
      </w:r>
      <w:r>
        <w:t xml:space="preserve">  </w:t>
      </w:r>
      <w:r w:rsidRPr="00E86BB5">
        <w:t>) (pending before the Legislature as this bill).  The report shall include:</w:t>
      </w:r>
    </w:p>
    <w:p w:rsidR="00FC5B57" w:rsidRPr="00E86BB5" w:rsidRDefault="00FC5B57" w:rsidP="00FC5B57">
      <w:r w:rsidRPr="005E7034">
        <w:tab/>
      </w:r>
      <w:r w:rsidRPr="00E86BB5">
        <w:t>a.  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w:t>
      </w:r>
    </w:p>
    <w:p w:rsidR="00FC5B57" w:rsidRPr="00E86BB5" w:rsidRDefault="00FC5B57" w:rsidP="00FC5B57">
      <w:pPr>
        <w:rPr>
          <w:rFonts w:ascii="Albertus Extra Bold" w:hAnsi="Albertus Extra Bold"/>
          <w:b/>
          <w:vertAlign w:val="superscript"/>
        </w:rPr>
      </w:pPr>
      <w:r w:rsidRPr="005E7034">
        <w:tab/>
      </w:r>
      <w:r w:rsidRPr="00E86BB5">
        <w:t>b.  a list setting forth each special education case that was not decided within the 45 days, including the total number of days it took the administrative law judge to hear the case and issue the decision and the reason why the case was not decided within the 45 days;</w:t>
      </w:r>
      <w:r>
        <w:t xml:space="preserve"> </w:t>
      </w:r>
      <w:r>
        <w:rPr>
          <w:rFonts w:ascii="Albertus Extra Bold" w:hAnsi="Albertus Extra Bold"/>
          <w:b/>
          <w:vertAlign w:val="superscript"/>
        </w:rPr>
        <w:t>1</w:t>
      </w:r>
      <w:r w:rsidRPr="00E86BB5">
        <w:rPr>
          <w:rFonts w:ascii="Albertus Extra Bold" w:hAnsi="Albertus Extra Bold"/>
          <w:b/>
        </w:rPr>
        <w:t>[</w:t>
      </w:r>
      <w:r>
        <w:t>and</w:t>
      </w:r>
      <w:r w:rsidRPr="00E86BB5">
        <w:rPr>
          <w:rFonts w:ascii="Albertus Extra Bold" w:hAnsi="Albertus Extra Bold"/>
          <w:b/>
        </w:rPr>
        <w:t>]</w:t>
      </w:r>
      <w:r>
        <w:rPr>
          <w:rFonts w:ascii="Albertus Extra Bold" w:hAnsi="Albertus Extra Bold"/>
          <w:b/>
          <w:vertAlign w:val="superscript"/>
        </w:rPr>
        <w:t>1</w:t>
      </w:r>
    </w:p>
    <w:p w:rsidR="00FC5B57" w:rsidRDefault="00FC5B57" w:rsidP="00FC5B57">
      <w:pPr>
        <w:rPr>
          <w:u w:val="single"/>
        </w:rPr>
      </w:pPr>
      <w:r w:rsidRPr="005E7034">
        <w:tab/>
      </w:r>
      <w:r w:rsidRPr="00E86BB5">
        <w:t xml:space="preserve">c.  </w:t>
      </w:r>
      <w:r>
        <w:rPr>
          <w:rFonts w:ascii="Albertus Extra Bold" w:hAnsi="Albertus Extra Bold"/>
          <w:b/>
          <w:vertAlign w:val="superscript"/>
        </w:rPr>
        <w:t>1</w:t>
      </w:r>
      <w:r>
        <w:rPr>
          <w:u w:val="single"/>
        </w:rPr>
        <w:t>the number of administrative law judges currently assigned to the special education unit;</w:t>
      </w:r>
    </w:p>
    <w:p w:rsidR="00FC5B57" w:rsidRDefault="00FC5B57" w:rsidP="00FC5B57">
      <w:pPr>
        <w:rPr>
          <w:u w:val="single"/>
        </w:rPr>
      </w:pPr>
      <w:r w:rsidRPr="001D5C2B">
        <w:tab/>
      </w:r>
      <w:r>
        <w:rPr>
          <w:u w:val="single"/>
        </w:rPr>
        <w:t xml:space="preserve">d.  recommendations as to whether the number of administrative law judges in the special education unit is sufficient to render decisions within the time periods mandated under federal and State law and, if not, recommendations concerning the number of additional administrative law judges </w:t>
      </w:r>
      <w:bookmarkStart w:id="1" w:name="_Hlk72226869"/>
      <w:r>
        <w:rPr>
          <w:u w:val="single"/>
        </w:rPr>
        <w:t>that would be needed to enable the special education unit to render decisions within federal and State mandated time period</w:t>
      </w:r>
      <w:bookmarkEnd w:id="1"/>
      <w:r>
        <w:rPr>
          <w:u w:val="single"/>
        </w:rPr>
        <w:t>s;</w:t>
      </w:r>
      <w:r w:rsidRPr="001D5C2B">
        <w:rPr>
          <w:u w:val="single"/>
        </w:rPr>
        <w:t xml:space="preserve"> and</w:t>
      </w:r>
    </w:p>
    <w:p w:rsidR="00FC5B57" w:rsidRDefault="00FC5B57" w:rsidP="00FC5B57">
      <w:r w:rsidRPr="001D5C2B">
        <w:tab/>
      </w:r>
      <w:r>
        <w:rPr>
          <w:u w:val="single"/>
        </w:rPr>
        <w:t>e</w:t>
      </w:r>
      <w:r w:rsidRPr="001D5C2B">
        <w:rPr>
          <w:u w:val="single"/>
        </w:rPr>
        <w:t>.</w:t>
      </w:r>
      <w:r>
        <w:rPr>
          <w:rFonts w:ascii="Albertus Extra Bold" w:hAnsi="Albertus Extra Bold"/>
          <w:b/>
          <w:vertAlign w:val="superscript"/>
        </w:rPr>
        <w:t>1</w:t>
      </w:r>
      <w:r w:rsidRPr="00E86BB5">
        <w:t xml:space="preserve">  other relevant information and recommendations at the discretion of the </w:t>
      </w:r>
      <w:r>
        <w:rPr>
          <w:rFonts w:ascii="Albertus Extra Bold" w:hAnsi="Albertus Extra Bold"/>
          <w:b/>
          <w:vertAlign w:val="superscript"/>
        </w:rPr>
        <w:t>1</w:t>
      </w:r>
      <w:r w:rsidRPr="00E86BB5">
        <w:rPr>
          <w:rFonts w:ascii="Albertus Extra Bold" w:hAnsi="Albertus Extra Bold"/>
          <w:b/>
        </w:rPr>
        <w:t>[</w:t>
      </w:r>
      <w:r w:rsidRPr="00E86BB5">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E86BB5">
        <w:t xml:space="preserve"> and Chief Administrative Law Judge.</w:t>
      </w:r>
    </w:p>
    <w:p w:rsidR="00FC5B57" w:rsidRDefault="00FC5B57" w:rsidP="00CD6C55"/>
    <w:p w:rsidR="00CD6C55" w:rsidRPr="002D0760" w:rsidRDefault="00CD6C55" w:rsidP="00CD6C55">
      <w:r w:rsidRPr="002D0760">
        <w:tab/>
        <w:t>3.</w:t>
      </w:r>
      <w:r w:rsidRPr="002D0760">
        <w:tab/>
        <w:t>The Director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CD6C55" w:rsidRDefault="00CD6C55" w:rsidP="00CD6C55"/>
    <w:p w:rsidR="00CD6C55" w:rsidRDefault="00CD6C55" w:rsidP="00CD6C55">
      <w:r>
        <w:tab/>
      </w:r>
      <w:r w:rsidRPr="002D0760">
        <w:t>4.</w:t>
      </w:r>
      <w:r>
        <w:tab/>
        <w:t>This act shall take effect on the first day of the ninth month next following enactment</w:t>
      </w:r>
      <w:r w:rsidRPr="00FE7ED7">
        <w:t xml:space="preserve"> </w:t>
      </w:r>
      <w:r>
        <w:t>except the Director and Chief Administrative Law Judge of the Office of Administrative Law may take any anticipatory administrative action in advance as shall be necessary for the implementation of this act.</w:t>
      </w:r>
    </w:p>
    <w:sectPr w:rsidR="00CD6C55" w:rsidSect="00E72C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FC" w:rsidRDefault="007836FC">
      <w:r>
        <w:separator/>
      </w:r>
    </w:p>
  </w:endnote>
  <w:endnote w:type="continuationSeparator" w:id="0">
    <w:p w:rsidR="007836FC" w:rsidRDefault="0078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4CA" w:rsidRDefault="00574075" w:rsidP="0057407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B57" w:rsidRPr="00921C91" w:rsidRDefault="00FC5B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B57" w:rsidRPr="00921C91" w:rsidRDefault="00FC5B57">
    <w:pPr>
      <w:pStyle w:val="Footer"/>
      <w:rPr>
        <w:szCs w:val="18"/>
      </w:rPr>
    </w:pPr>
  </w:p>
  <w:p w:rsidR="00FC5B57" w:rsidRPr="00921C91" w:rsidRDefault="00FC5B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B57" w:rsidRDefault="00FC5B57" w:rsidP="00686AEB">
    <w:pPr>
      <w:pStyle w:val="Footer"/>
    </w:pPr>
    <w:r>
      <w:tab/>
      <w:t>Matter enclosed in superscript numerals has been adopted as follows:</w:t>
    </w:r>
  </w:p>
  <w:p w:rsidR="00FC5B57" w:rsidRDefault="00FC5B5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20, 2021.</w:t>
    </w:r>
  </w:p>
  <w:p w:rsidR="00FC5B57" w:rsidRPr="00FC5B57" w:rsidRDefault="00FC5B5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FC" w:rsidRDefault="007836FC">
      <w:r>
        <w:separator/>
      </w:r>
    </w:p>
  </w:footnote>
  <w:footnote w:type="continuationSeparator" w:id="0">
    <w:p w:rsidR="007836FC" w:rsidRDefault="0078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1F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CDB" w:rsidRDefault="00E72CDB" w:rsidP="00E72CDB">
    <w:pPr>
      <w:pStyle w:val="bpuHeadSpon"/>
    </w:pPr>
    <w:r w:rsidRPr="00E72CDB">
      <w:rPr>
        <w:rStyle w:val="bpuHeadSponChar"/>
      </w:rPr>
      <w:t>S2160</w:t>
    </w:r>
    <w:r>
      <w:t xml:space="preserve"> </w:t>
    </w:r>
    <w:r w:rsidR="00FC5B57">
      <w:t xml:space="preserve">[1R] </w:t>
    </w:r>
    <w:r>
      <w:t>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EB787A">
      <w:rPr>
        <w:noProof/>
      </w:rPr>
      <w:t>3</w:t>
    </w:r>
    <w:r>
      <w:fldChar w:fldCharType="end"/>
    </w:r>
  </w:p>
  <w:p w:rsidR="00E72CDB" w:rsidRDefault="00E72CDB" w:rsidP="00E72C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2CDB" w:rsidRDefault="00E72CDB" w:rsidP="00E72CDB">
    <w:pPr>
      <w:pStyle w:val="bpuHeadSpon"/>
    </w:pPr>
    <w:r w:rsidRPr="00E72CDB">
      <w:rPr>
        <w:rStyle w:val="bpuHeadSponChar"/>
      </w:rPr>
      <w:t>S2160</w:t>
    </w:r>
    <w:r>
      <w:t xml:space="preserve"> </w:t>
    </w:r>
    <w:r w:rsidR="00FC5B57">
      <w:t xml:space="preserve">[1R] </w:t>
    </w:r>
    <w:r>
      <w:t>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EB787A">
      <w:rPr>
        <w:noProof/>
      </w:rPr>
      <w:t>2</w:t>
    </w:r>
    <w:r>
      <w:fldChar w:fldCharType="end"/>
    </w:r>
  </w:p>
  <w:p w:rsidR="00E72CDB" w:rsidRDefault="00E72CDB" w:rsidP="00E72C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9AA"/>
    <w:rsid w:val="0012173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3BC"/>
    <w:rsid w:val="002720E8"/>
    <w:rsid w:val="00275293"/>
    <w:rsid w:val="002776B0"/>
    <w:rsid w:val="00286C7E"/>
    <w:rsid w:val="002A1029"/>
    <w:rsid w:val="002A3A1A"/>
    <w:rsid w:val="002A4692"/>
    <w:rsid w:val="002A51BA"/>
    <w:rsid w:val="002B2E26"/>
    <w:rsid w:val="002B3FE6"/>
    <w:rsid w:val="002B6225"/>
    <w:rsid w:val="002C2D81"/>
    <w:rsid w:val="002C461E"/>
    <w:rsid w:val="002C6CEC"/>
    <w:rsid w:val="002D076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84"/>
    <w:rsid w:val="0045118A"/>
    <w:rsid w:val="00455D51"/>
    <w:rsid w:val="00456BF9"/>
    <w:rsid w:val="00461057"/>
    <w:rsid w:val="004704A8"/>
    <w:rsid w:val="00471102"/>
    <w:rsid w:val="00471F18"/>
    <w:rsid w:val="004727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7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E6"/>
    <w:rsid w:val="00686AEB"/>
    <w:rsid w:val="00696A4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FC"/>
    <w:rsid w:val="00783B8D"/>
    <w:rsid w:val="00794B94"/>
    <w:rsid w:val="00794BD4"/>
    <w:rsid w:val="007A2F73"/>
    <w:rsid w:val="007A3061"/>
    <w:rsid w:val="007A5A0B"/>
    <w:rsid w:val="007B33D6"/>
    <w:rsid w:val="007C0E14"/>
    <w:rsid w:val="007C7DE4"/>
    <w:rsid w:val="007D40CB"/>
    <w:rsid w:val="007D5796"/>
    <w:rsid w:val="007D59C0"/>
    <w:rsid w:val="007D7D9C"/>
    <w:rsid w:val="007F485D"/>
    <w:rsid w:val="007F6050"/>
    <w:rsid w:val="00804DA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21"/>
    <w:rsid w:val="00884D51"/>
    <w:rsid w:val="008916EC"/>
    <w:rsid w:val="00891E4F"/>
    <w:rsid w:val="008A12BD"/>
    <w:rsid w:val="008A31C5"/>
    <w:rsid w:val="008A4F9A"/>
    <w:rsid w:val="008B2850"/>
    <w:rsid w:val="008C79B3"/>
    <w:rsid w:val="008D77BD"/>
    <w:rsid w:val="008E454C"/>
    <w:rsid w:val="008F1E5A"/>
    <w:rsid w:val="00901BDA"/>
    <w:rsid w:val="00905B12"/>
    <w:rsid w:val="009121D8"/>
    <w:rsid w:val="00916F7A"/>
    <w:rsid w:val="00917FE3"/>
    <w:rsid w:val="009318C7"/>
    <w:rsid w:val="00931C09"/>
    <w:rsid w:val="009348C2"/>
    <w:rsid w:val="009440D0"/>
    <w:rsid w:val="00950892"/>
    <w:rsid w:val="00950F7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D8"/>
    <w:rsid w:val="009B34EC"/>
    <w:rsid w:val="009B3DA6"/>
    <w:rsid w:val="009B5D67"/>
    <w:rsid w:val="009B6176"/>
    <w:rsid w:val="009C0D22"/>
    <w:rsid w:val="009C2DD9"/>
    <w:rsid w:val="009C3E09"/>
    <w:rsid w:val="009C5630"/>
    <w:rsid w:val="009D0E5D"/>
    <w:rsid w:val="009D0F63"/>
    <w:rsid w:val="009D7934"/>
    <w:rsid w:val="009D7CCF"/>
    <w:rsid w:val="009E5961"/>
    <w:rsid w:val="009F4FAC"/>
    <w:rsid w:val="00A017C0"/>
    <w:rsid w:val="00A01972"/>
    <w:rsid w:val="00A11228"/>
    <w:rsid w:val="00A222C2"/>
    <w:rsid w:val="00A305D6"/>
    <w:rsid w:val="00A342C4"/>
    <w:rsid w:val="00A41267"/>
    <w:rsid w:val="00A50F6B"/>
    <w:rsid w:val="00A52237"/>
    <w:rsid w:val="00A551D6"/>
    <w:rsid w:val="00A564CA"/>
    <w:rsid w:val="00A6251B"/>
    <w:rsid w:val="00A6426C"/>
    <w:rsid w:val="00A6754E"/>
    <w:rsid w:val="00A70F58"/>
    <w:rsid w:val="00A7256F"/>
    <w:rsid w:val="00A72987"/>
    <w:rsid w:val="00A7346B"/>
    <w:rsid w:val="00A84C4F"/>
    <w:rsid w:val="00A932A1"/>
    <w:rsid w:val="00A96E06"/>
    <w:rsid w:val="00AA6197"/>
    <w:rsid w:val="00AA6C70"/>
    <w:rsid w:val="00AB16FD"/>
    <w:rsid w:val="00AB4813"/>
    <w:rsid w:val="00AC6466"/>
    <w:rsid w:val="00AC7639"/>
    <w:rsid w:val="00AD08BB"/>
    <w:rsid w:val="00AD0EC0"/>
    <w:rsid w:val="00AD310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B9"/>
    <w:rsid w:val="00B45B34"/>
    <w:rsid w:val="00B570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A4D"/>
    <w:rsid w:val="00BE7EFA"/>
    <w:rsid w:val="00BF06AD"/>
    <w:rsid w:val="00BF2C67"/>
    <w:rsid w:val="00C04F4D"/>
    <w:rsid w:val="00C12E48"/>
    <w:rsid w:val="00C13D14"/>
    <w:rsid w:val="00C15F53"/>
    <w:rsid w:val="00C23F09"/>
    <w:rsid w:val="00C25356"/>
    <w:rsid w:val="00C328D0"/>
    <w:rsid w:val="00C46BC1"/>
    <w:rsid w:val="00C5235F"/>
    <w:rsid w:val="00C54CE2"/>
    <w:rsid w:val="00C61C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C55"/>
    <w:rsid w:val="00CE6A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98"/>
    <w:rsid w:val="00D9410B"/>
    <w:rsid w:val="00D9695B"/>
    <w:rsid w:val="00DA2417"/>
    <w:rsid w:val="00DA5585"/>
    <w:rsid w:val="00DB02AC"/>
    <w:rsid w:val="00DB6AA2"/>
    <w:rsid w:val="00DC758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DB"/>
    <w:rsid w:val="00E73D74"/>
    <w:rsid w:val="00E76A79"/>
    <w:rsid w:val="00E80692"/>
    <w:rsid w:val="00E80C24"/>
    <w:rsid w:val="00E93836"/>
    <w:rsid w:val="00EA7C16"/>
    <w:rsid w:val="00EB787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B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51B3B6"/>
  <w15:docId w15:val="{DCF72063-3616-4B5E-8932-8D707460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DA8"/>
    <w:rPr>
      <w:rFonts w:ascii="Segoe UI" w:hAnsi="Segoe UI" w:cs="Segoe UI"/>
      <w:spacing w:val="4"/>
      <w:sz w:val="18"/>
      <w:szCs w:val="18"/>
    </w:rPr>
  </w:style>
  <w:style w:type="character" w:styleId="LineNumber">
    <w:name w:val="line number"/>
    <w:basedOn w:val="DefaultParagraphFont"/>
    <w:semiHidden/>
    <w:unhideWhenUsed/>
    <w:rsid w:val="00E72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739</Words>
  <Characters>4017</Characters>
  <Application>Microsoft Office Word</Application>
  <DocSecurity>0</DocSecurity>
  <Lines>113</Lines>
  <Paragraphs>36</Paragraphs>
  <ScaleCrop>false</ScaleCrop>
  <HeadingPairs>
    <vt:vector size="2" baseType="variant">
      <vt:variant>
        <vt:lpstr>Title</vt:lpstr>
      </vt:variant>
      <vt:variant>
        <vt:i4>1</vt:i4>
      </vt:variant>
    </vt:vector>
  </HeadingPairs>
  <TitlesOfParts>
    <vt:vector size="1" baseType="lpstr">
      <vt:lpstr>S2160 1R</vt:lpstr>
    </vt:vector>
  </TitlesOfParts>
  <Manager>R225</Manager>
  <Company>NJ Office of Legislative Services</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1R</dc:title>
  <dc:subject/>
  <dc:creator>Senator  SWEENEY</dc:creator>
  <cp:keywords>S2160|3|HS |321|219|259|!|0|</cp:keywords>
  <dc:description>INTRODUCED MARCH 16, 2020_x000d_
Amended 5/20/21</dc:description>
  <cp:lastModifiedBy>Todaro, Vivian</cp:lastModifiedBy>
  <cp:revision>2</cp:revision>
  <cp:lastPrinted>2021-06-28T17:17:00Z</cp:lastPrinted>
  <dcterms:created xsi:type="dcterms:W3CDTF">2021-06-28T17:17:00Z</dcterms:created>
  <dcterms:modified xsi:type="dcterms:W3CDTF">2021-06-28T17:17:00Z</dcterms:modified>
  <cp:category>sections 1-2	C.52:14F-24-52:14F-25_x000d_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