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18C4" w:rsidRDefault="00C518C4" w:rsidP="00C518C4">
      <w:pPr>
        <w:pStyle w:val="bpuBill"/>
      </w:pPr>
      <w:bookmarkStart w:id="0" w:name="bpuFrontPg"/>
      <w:bookmarkStart w:id="1" w:name="_GoBack"/>
      <w:bookmarkEnd w:id="0"/>
      <w:bookmarkEnd w:id="1"/>
      <w:r>
        <w:t xml:space="preserve">SENATE, No. 2244 </w:t>
      </w:r>
    </w:p>
    <w:p w:rsidR="00C518C4" w:rsidRPr="009D38FF" w:rsidRDefault="00C518C4" w:rsidP="00C518C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4410" r:id="rId7"/>
        </w:object>
      </w:r>
    </w:p>
    <w:p w:rsidR="00C518C4" w:rsidRDefault="00C518C4" w:rsidP="00C518C4">
      <w:pPr>
        <w:pStyle w:val="bpuState"/>
      </w:pPr>
      <w:r>
        <w:t>STATE OF NEW JERSEY</w:t>
      </w:r>
    </w:p>
    <w:p w:rsidR="00C518C4" w:rsidRDefault="00C518C4" w:rsidP="00C518C4">
      <w:pPr>
        <w:pStyle w:val="bpuLegislature"/>
      </w:pPr>
      <w:r>
        <w:t>219th LEGISLATURE</w:t>
      </w:r>
    </w:p>
    <w:p w:rsidR="00C518C4" w:rsidRDefault="00C518C4" w:rsidP="00C518C4">
      <w:pPr>
        <w:pStyle w:val="bpuWpGraphic"/>
      </w:pPr>
      <w:r>
        <w:object w:dxaOrig="8985" w:dyaOrig="255">
          <v:shape id="_x0000_i1026" type="#_x0000_t75" style="width:6in;height:12pt" o:ole="">
            <v:imagedata r:id="rId6" o:title=""/>
          </v:shape>
          <o:OLEObject Type="Embed" ProgID="WPWin6.1" ShapeID="_x0000_i1026" DrawAspect="Content" ObjectID="_1645944411" r:id="rId8"/>
        </w:object>
      </w:r>
      <w:r>
        <w:t xml:space="preserve">  </w:t>
      </w:r>
    </w:p>
    <w:p w:rsidR="00C518C4" w:rsidRDefault="00C518C4" w:rsidP="00C518C4">
      <w:pPr>
        <w:pStyle w:val="bpuIntro"/>
      </w:pPr>
      <w:r>
        <w:t>INTRODUCED MARCH 16, 2020</w:t>
      </w:r>
    </w:p>
    <w:p w:rsidR="00C518C4" w:rsidRDefault="00C518C4" w:rsidP="00C518C4">
      <w:pPr>
        <w:pStyle w:val="bpuIntro"/>
      </w:pPr>
    </w:p>
    <w:p w:rsidR="00C518C4" w:rsidRDefault="00C518C4" w:rsidP="00C518C4">
      <w:pPr>
        <w:pStyle w:val="bpuIntro"/>
        <w:sectPr w:rsidR="00C518C4" w:rsidSect="00C518C4">
          <w:headerReference w:type="even" r:id="rId9"/>
          <w:headerReference w:type="default" r:id="rId10"/>
          <w:pgSz w:w="12240" w:h="20160" w:code="5"/>
          <w:pgMar w:top="2160" w:right="1440" w:bottom="1440" w:left="1440" w:header="72" w:footer="720" w:gutter="0"/>
          <w:pgNumType w:start="1"/>
          <w:cols w:space="720"/>
          <w:docGrid w:linePitch="360"/>
        </w:sectPr>
      </w:pPr>
    </w:p>
    <w:p w:rsidR="00C518C4" w:rsidRDefault="00C518C4" w:rsidP="00C518C4">
      <w:pPr>
        <w:pStyle w:val="bpuIntro"/>
      </w:pPr>
    </w:p>
    <w:p w:rsidR="00C518C4" w:rsidRDefault="00C518C4" w:rsidP="00C518C4">
      <w:pPr>
        <w:pStyle w:val="bpuSponsor"/>
      </w:pPr>
      <w:r>
        <w:t>Sponsored by:</w:t>
      </w:r>
    </w:p>
    <w:p w:rsidR="00C518C4" w:rsidRDefault="00C518C4" w:rsidP="00C518C4">
      <w:pPr>
        <w:pStyle w:val="bpuSponsor"/>
      </w:pPr>
      <w:r>
        <w:t>Senator  JAMES W. HOLZAPFEL</w:t>
      </w:r>
    </w:p>
    <w:p w:rsidR="00C518C4" w:rsidRDefault="00C518C4" w:rsidP="00C518C4">
      <w:pPr>
        <w:pStyle w:val="bpuSponsor"/>
      </w:pPr>
      <w:r>
        <w:t>District 10 (Ocean)</w:t>
      </w:r>
    </w:p>
    <w:p w:rsidR="00C518C4" w:rsidRDefault="00C518C4" w:rsidP="00C518C4">
      <w:pPr>
        <w:pStyle w:val="bpuSponsor"/>
      </w:pPr>
    </w:p>
    <w:p w:rsidR="00C518C4" w:rsidRDefault="00C518C4" w:rsidP="00C518C4">
      <w:pPr>
        <w:pStyle w:val="bpuSponsor"/>
      </w:pPr>
    </w:p>
    <w:p w:rsidR="00C518C4" w:rsidRDefault="00C518C4" w:rsidP="00C518C4">
      <w:pPr>
        <w:pStyle w:val="bpuSponsor"/>
      </w:pPr>
    </w:p>
    <w:p w:rsidR="00C518C4" w:rsidRDefault="00C518C4" w:rsidP="00C518C4">
      <w:pPr>
        <w:pStyle w:val="bpuSponsor"/>
      </w:pPr>
    </w:p>
    <w:p w:rsidR="00C518C4" w:rsidRDefault="00C518C4" w:rsidP="00C518C4">
      <w:pPr>
        <w:pStyle w:val="bpuSponsor"/>
      </w:pPr>
      <w:r>
        <w:t>SYNOPSIS</w:t>
      </w:r>
    </w:p>
    <w:p w:rsidR="00C518C4" w:rsidRDefault="00C518C4" w:rsidP="00C518C4">
      <w:pPr>
        <w:pStyle w:val="bpuNormText"/>
      </w:pPr>
      <w:r>
        <w:tab/>
        <w:t xml:space="preserve">Concerns valuation of property condemned for dune construction or beach replenishment. </w:t>
      </w:r>
    </w:p>
    <w:p w:rsidR="00C518C4" w:rsidRDefault="00C518C4" w:rsidP="00C518C4">
      <w:pPr>
        <w:pStyle w:val="bpuNormText"/>
      </w:pPr>
    </w:p>
    <w:p w:rsidR="00C518C4" w:rsidRDefault="00C518C4" w:rsidP="00C518C4">
      <w:pPr>
        <w:pStyle w:val="bpuSponsor"/>
      </w:pPr>
      <w:r>
        <w:t xml:space="preserve">CURRENT VERSION OF TEXT </w:t>
      </w:r>
    </w:p>
    <w:p w:rsidR="00C518C4" w:rsidRDefault="00C518C4" w:rsidP="00C518C4">
      <w:pPr>
        <w:pStyle w:val="bpuNormText"/>
      </w:pPr>
      <w:r>
        <w:tab/>
        <w:t>As introduced.</w:t>
      </w:r>
    </w:p>
    <w:p w:rsidR="00C518C4" w:rsidRDefault="00C518C4" w:rsidP="00C518C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518C4" w:rsidRDefault="00C518C4" w:rsidP="008916EC">
      <w:pPr>
        <w:pStyle w:val="FronterPage"/>
        <w:tabs>
          <w:tab w:val="clear" w:pos="720"/>
          <w:tab w:val="clear" w:pos="1440"/>
          <w:tab w:val="clear" w:pos="2160"/>
          <w:tab w:val="clear" w:pos="2880"/>
          <w:tab w:val="clear" w:pos="3600"/>
          <w:tab w:val="clear" w:pos="4320"/>
          <w:tab w:val="clear" w:pos="5040"/>
        </w:tabs>
        <w:sectPr w:rsidR="00C518C4" w:rsidSect="00C518C4">
          <w:type w:val="continuous"/>
          <w:pgSz w:w="12240" w:h="20160" w:code="5"/>
          <w:pgMar w:top="1440" w:right="2275" w:bottom="1440" w:left="2275" w:header="72" w:footer="720" w:gutter="0"/>
          <w:pgNumType w:start="1"/>
          <w:cols w:space="720"/>
          <w:docGrid w:linePitch="360"/>
        </w:sectPr>
      </w:pPr>
    </w:p>
    <w:p w:rsidR="00FE70A1" w:rsidRPr="00677316" w:rsidRDefault="00FE70A1" w:rsidP="00FE70A1">
      <w:pPr>
        <w:pStyle w:val="HangingAnAct"/>
        <w:rPr>
          <w:rStyle w:val="HangingAnActChar"/>
        </w:rPr>
      </w:pPr>
      <w:r w:rsidRPr="00FE70A1">
        <w:rPr>
          <w:rStyle w:val="BillHead"/>
        </w:rPr>
        <w:lastRenderedPageBreak/>
        <w:t>An Act</w:t>
      </w:r>
      <w:r w:rsidRPr="006B7FA7">
        <w:rPr>
          <w:rStyle w:val="HangingAnActChar"/>
        </w:rPr>
        <w:t xml:space="preserve"> </w:t>
      </w:r>
      <w:r>
        <w:rPr>
          <w:rStyle w:val="HangingAnActChar"/>
        </w:rPr>
        <w:t>concerning compensation for certain condemned property, and supplementing P.L.1971, c.361 (C.20:3-1 et seq.).</w:t>
      </w:r>
    </w:p>
    <w:p w:rsidR="00FE70A1" w:rsidRPr="00D71D68" w:rsidRDefault="00FE70A1" w:rsidP="00FE70A1"/>
    <w:p w:rsidR="00FE70A1" w:rsidRPr="00AA7880" w:rsidRDefault="00FE70A1" w:rsidP="00FE70A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E70A1" w:rsidRPr="00D71D68" w:rsidRDefault="00FE70A1" w:rsidP="00FE70A1"/>
    <w:p w:rsidR="00FE70A1" w:rsidRDefault="00FE70A1" w:rsidP="00FE70A1">
      <w:r>
        <w:tab/>
        <w:t>1.</w:t>
      </w:r>
      <w:r>
        <w:tab/>
        <w:t>Just compensation for an easement over a portion of beachfront property condemned for the purpose of dune construction or beach replenishment shall include consideration of the increase in value to the entire property due to the added safety and property protection provided by the dune or replenished beach. Any additional rights of the public to access property held in the public trust arising as a result of the easement, or the dune construction or beach replenishment, shall not be considered to cause a diminution in the value of the entire property.</w:t>
      </w:r>
    </w:p>
    <w:p w:rsidR="00FE70A1" w:rsidRDefault="00FE70A1" w:rsidP="00FE70A1"/>
    <w:p w:rsidR="00FE70A1" w:rsidRDefault="00FE70A1" w:rsidP="00FE70A1">
      <w:r>
        <w:tab/>
        <w:t>2.</w:t>
      </w:r>
      <w:r>
        <w:tab/>
        <w:t>This act shall take effect immediately and shall apply to all actions pending on the effective date of the act.</w:t>
      </w:r>
    </w:p>
    <w:p w:rsidR="00FE70A1" w:rsidRPr="00AA7880" w:rsidRDefault="00FE70A1" w:rsidP="00FE70A1"/>
    <w:p w:rsidR="00FE70A1" w:rsidRPr="00CE7BD8" w:rsidRDefault="00FE70A1" w:rsidP="00FE70A1"/>
    <w:p w:rsidR="00FE70A1" w:rsidRPr="00AA7880" w:rsidRDefault="00FE70A1" w:rsidP="00FE70A1">
      <w:pPr>
        <w:jc w:val="center"/>
      </w:pPr>
      <w:r w:rsidRPr="00D71D68">
        <w:t>STATEMENT</w:t>
      </w:r>
    </w:p>
    <w:p w:rsidR="00FE70A1" w:rsidRDefault="00FE70A1" w:rsidP="00FE70A1"/>
    <w:p w:rsidR="00FE70A1" w:rsidRDefault="00FE70A1" w:rsidP="0093534B">
      <w:r>
        <w:tab/>
        <w:t>This bill would supplement the "Eminent Domain Act of 1971," P.L.1971, c.</w:t>
      </w:r>
      <w:r>
        <w:rPr>
          <w:rStyle w:val="HangingAnActChar"/>
        </w:rPr>
        <w:t>361 (C.20:3-1 et seq.), to provide that</w:t>
      </w:r>
      <w:r>
        <w:t xml:space="preserve"> just compensation for an easement over a portion of beachfront property condemned for the purpose of dune construction or beach replenishment must include consideration of the increase in value to the entire property due to the added safety and property protection provided by the dune or replenished beach.  The bill would also provide that any additional rights of the public to access property held in the public trust arising as a result of the easement, or the dune construction or beach replenishment, would not be considered to cause a diminution in the value of the entire property. </w:t>
      </w:r>
    </w:p>
    <w:sectPr w:rsidR="00FE70A1" w:rsidSect="00C518C4">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209A" w:rsidRDefault="00C4209A">
      <w:r>
        <w:separator/>
      </w:r>
    </w:p>
  </w:endnote>
  <w:endnote w:type="continuationSeparator" w:id="0">
    <w:p w:rsidR="00C4209A" w:rsidRDefault="00C42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209A" w:rsidRDefault="00C4209A">
      <w:r>
        <w:separator/>
      </w:r>
    </w:p>
  </w:footnote>
  <w:footnote w:type="continuationSeparator" w:id="0">
    <w:p w:rsidR="00C4209A" w:rsidRDefault="00C420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B587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518C4" w:rsidRDefault="00C518C4" w:rsidP="00C518C4">
    <w:pPr>
      <w:pStyle w:val="bpuHeadSpon"/>
    </w:pPr>
    <w:r w:rsidRPr="00C518C4">
      <w:rPr>
        <w:rStyle w:val="bpuHeadSponChar"/>
      </w:rPr>
      <w:t>S2244</w:t>
    </w:r>
    <w:r>
      <w:t xml:space="preserve"> HOLZAPFEL</w:t>
    </w:r>
  </w:p>
  <w:p w:rsidR="00C518C4" w:rsidRDefault="00C518C4" w:rsidP="00C518C4">
    <w:pPr>
      <w:pStyle w:val="bpuHeadSpon"/>
    </w:pPr>
    <w:r>
      <w:fldChar w:fldCharType="begin"/>
    </w:r>
    <w:r>
      <w:instrText xml:space="preserve"> PAGE  \* MERGEFORMAT </w:instrText>
    </w:r>
    <w:r>
      <w:fldChar w:fldCharType="separate"/>
    </w:r>
    <w:r w:rsidR="0093534B">
      <w:rPr>
        <w:noProof/>
      </w:rPr>
      <w:t>3</w:t>
    </w:r>
    <w:r>
      <w:fldChar w:fldCharType="end"/>
    </w:r>
  </w:p>
  <w:p w:rsidR="00C518C4" w:rsidRDefault="00C518C4" w:rsidP="00C518C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518C4" w:rsidRDefault="00C518C4" w:rsidP="00C518C4">
    <w:pPr>
      <w:pStyle w:val="bpuHeadSpon"/>
    </w:pPr>
    <w:r w:rsidRPr="00C518C4">
      <w:rPr>
        <w:rStyle w:val="bpuHeadSponChar"/>
      </w:rPr>
      <w:t>S2244</w:t>
    </w:r>
    <w:r>
      <w:t xml:space="preserve"> HOLZAPFEL</w:t>
    </w:r>
  </w:p>
  <w:p w:rsidR="00C518C4" w:rsidRDefault="00C518C4" w:rsidP="00C518C4">
    <w:pPr>
      <w:pStyle w:val="bpuHeadSpon"/>
    </w:pPr>
    <w:r>
      <w:fldChar w:fldCharType="begin"/>
    </w:r>
    <w:r>
      <w:instrText xml:space="preserve"> PAGE  \* MERGEFORMAT </w:instrText>
    </w:r>
    <w:r>
      <w:fldChar w:fldCharType="separate"/>
    </w:r>
    <w:r w:rsidR="001B5872">
      <w:rPr>
        <w:noProof/>
      </w:rPr>
      <w:t>2</w:t>
    </w:r>
    <w:r>
      <w:fldChar w:fldCharType="end"/>
    </w:r>
  </w:p>
  <w:p w:rsidR="00C518C4" w:rsidRDefault="00C518C4" w:rsidP="00C518C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209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6CE8"/>
    <w:rsid w:val="001645FB"/>
    <w:rsid w:val="00173D2B"/>
    <w:rsid w:val="00181676"/>
    <w:rsid w:val="00183603"/>
    <w:rsid w:val="00194E78"/>
    <w:rsid w:val="0019707B"/>
    <w:rsid w:val="00197E8B"/>
    <w:rsid w:val="00197FA4"/>
    <w:rsid w:val="001A161A"/>
    <w:rsid w:val="001A3B79"/>
    <w:rsid w:val="001A66B6"/>
    <w:rsid w:val="001B4716"/>
    <w:rsid w:val="001B4EA4"/>
    <w:rsid w:val="001B5872"/>
    <w:rsid w:val="001C7C52"/>
    <w:rsid w:val="001D25F3"/>
    <w:rsid w:val="001E15F1"/>
    <w:rsid w:val="001E16FA"/>
    <w:rsid w:val="001E6213"/>
    <w:rsid w:val="001F14C7"/>
    <w:rsid w:val="001F7405"/>
    <w:rsid w:val="00205533"/>
    <w:rsid w:val="00206CE1"/>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0BB5"/>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534B"/>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33E5"/>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209A"/>
    <w:rsid w:val="00C46BC1"/>
    <w:rsid w:val="00C518C4"/>
    <w:rsid w:val="00C5235F"/>
    <w:rsid w:val="00C54CE2"/>
    <w:rsid w:val="00C66BF3"/>
    <w:rsid w:val="00C70140"/>
    <w:rsid w:val="00C73CA7"/>
    <w:rsid w:val="00C822F6"/>
    <w:rsid w:val="00C82AC2"/>
    <w:rsid w:val="00C8456C"/>
    <w:rsid w:val="00C91E19"/>
    <w:rsid w:val="00C92402"/>
    <w:rsid w:val="00C92867"/>
    <w:rsid w:val="00C93B93"/>
    <w:rsid w:val="00C97CA0"/>
    <w:rsid w:val="00CA037D"/>
    <w:rsid w:val="00CA0837"/>
    <w:rsid w:val="00CA2442"/>
    <w:rsid w:val="00CA4725"/>
    <w:rsid w:val="00CB6246"/>
    <w:rsid w:val="00CC0A17"/>
    <w:rsid w:val="00CC4C1C"/>
    <w:rsid w:val="00CD0F93"/>
    <w:rsid w:val="00CD1BD1"/>
    <w:rsid w:val="00CD528D"/>
    <w:rsid w:val="00CE0E3A"/>
    <w:rsid w:val="00CE78BF"/>
    <w:rsid w:val="00CF65EB"/>
    <w:rsid w:val="00CF72AD"/>
    <w:rsid w:val="00D02441"/>
    <w:rsid w:val="00D039F4"/>
    <w:rsid w:val="00D10496"/>
    <w:rsid w:val="00D11173"/>
    <w:rsid w:val="00D1215F"/>
    <w:rsid w:val="00D1648D"/>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2E64"/>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276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70A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44573A4-545B-47CC-8F70-1B3F7CCA1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518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299</Words>
  <Characters>1561</Characters>
  <Application>Microsoft Office Word</Application>
  <DocSecurity>0</DocSecurity>
  <Lines>57</Lines>
  <Paragraphs>17</Paragraphs>
  <ScaleCrop>false</ScaleCrop>
  <HeadingPairs>
    <vt:vector size="2" baseType="variant">
      <vt:variant>
        <vt:lpstr>Title</vt:lpstr>
      </vt:variant>
      <vt:variant>
        <vt:i4>1</vt:i4>
      </vt:variant>
    </vt:vector>
  </HeadingPairs>
  <TitlesOfParts>
    <vt:vector size="1" baseType="lpstr">
      <vt:lpstr>S2244</vt:lpstr>
    </vt:vector>
  </TitlesOfParts>
  <Manager>R56</Manager>
  <Company>NJ Office of Legislative Services</Company>
  <LinksUpToDate>false</LinksUpToDate>
  <CharactersWithSpaces>1858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S2244</dc:title>
  <dc:subject/>
  <dc:creator>Senator  HOLZAPFEL</dc:creator>
  <cp:keywords>S2244|2|EA |277|0|277|F|0|</cp:keywords>
  <dc:description>INTRODUCED MARCH 16, 2020</dc:description>
  <cp:lastModifiedBy>Todaro, Vivian</cp:lastModifiedBy>
  <cp:revision>2</cp:revision>
  <cp:lastPrinted>2020-03-11T15:01:00Z</cp:lastPrinted>
  <dcterms:created xsi:type="dcterms:W3CDTF">2020-03-17T13:55:00Z</dcterms:created>
  <dcterms:modified xsi:type="dcterms:W3CDTF">2020-03-17T13:55:00Z</dcterms:modified>
  <cp:category>s.1:  C.20:3-29.2 to 2019/350_x000d_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