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B210B" w:rsidP="00407C9E">
      <w:pPr>
        <w:pStyle w:val="NoteOrEstimate"/>
      </w:pPr>
      <w:r>
        <w:t>LEGISLATIVE FISCAL ESTIMATE</w:t>
      </w:r>
    </w:p>
    <w:p w:rsidR="003C5892" w:rsidRDefault="00FB210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2257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31094" w:rsidP="00931094">
      <w:pPr>
        <w:pStyle w:val="BillNo"/>
      </w:pPr>
      <w:r>
        <w:t>219th LEGISLATURE</w:t>
      </w:r>
    </w:p>
    <w:p w:rsidR="00353325" w:rsidRDefault="00353325" w:rsidP="00353325"/>
    <w:p w:rsidR="00931094" w:rsidRDefault="00931094" w:rsidP="00931094">
      <w:pPr>
        <w:jc w:val="center"/>
      </w:pPr>
      <w:r>
        <w:t>DATED: JULY 2, 2020</w:t>
      </w:r>
    </w:p>
    <w:p w:rsidR="00931094" w:rsidRDefault="00931094" w:rsidP="00353325"/>
    <w:p w:rsidR="00931094" w:rsidRDefault="0093109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66862" w:rsidP="00515AC5">
            <w:r w:rsidRPr="00366862">
              <w:t>Allows deduction of promotional gaming credit from gross revenue on sports wagering.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213BB" w:rsidP="00E213BB">
            <w:r>
              <w:t xml:space="preserve">Annual </w:t>
            </w:r>
            <w:r w:rsidR="00AC589C">
              <w:t>State</w:t>
            </w:r>
            <w:r w:rsidR="008E7730" w:rsidRPr="008E7730">
              <w:t xml:space="preserve"> loss of revenue to the General Fund and the Casino Revenue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66862" w:rsidRDefault="00E213BB" w:rsidP="00E213BB">
            <w:r>
              <w:t>Casino Control Commission;</w:t>
            </w:r>
            <w:r w:rsidR="00AC589C">
              <w:t xml:space="preserve"> </w:t>
            </w:r>
            <w:r>
              <w:t>Casino Reinvestment Development Authority;</w:t>
            </w:r>
            <w:r w:rsidR="00AC589C">
              <w:t xml:space="preserve"> </w:t>
            </w:r>
            <w:r w:rsidR="002479E9">
              <w:t>Department of Community Affairs;</w:t>
            </w:r>
            <w:r w:rsidR="00AC589C">
              <w:t xml:space="preserve"> </w:t>
            </w:r>
            <w:r>
              <w:t>Department of Law and Public Safety; and</w:t>
            </w:r>
            <w:r w:rsidR="00AC589C">
              <w:t xml:space="preserve"> </w:t>
            </w:r>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5950"/>
        <w:gridCol w:w="15"/>
      </w:tblGrid>
      <w:tr w:rsidR="00C75246" w:rsidTr="00E213BB">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213BB" w:rsidTr="00ED13AC">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E213BB" w:rsidRPr="00F11982" w:rsidRDefault="00E213B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tcBorders>
              <w:top w:val="single" w:sz="6" w:space="0" w:color="auto"/>
              <w:left w:val="nil"/>
              <w:bottom w:val="single" w:sz="12" w:space="0" w:color="auto"/>
              <w:right w:val="single" w:sz="6" w:space="0" w:color="auto"/>
            </w:tcBorders>
            <w:shd w:val="pct20" w:color="auto" w:fill="auto"/>
            <w:vAlign w:val="bottom"/>
          </w:tcPr>
          <w:p w:rsidR="00E213BB" w:rsidRPr="00E213BB" w:rsidRDefault="002F1D0C" w:rsidP="002D786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FY 2021</w:t>
            </w:r>
            <w:r w:rsidR="00E213BB" w:rsidRPr="00E213BB">
              <w:rPr>
                <w:b/>
                <w:u w:val="single"/>
              </w:rPr>
              <w:t xml:space="preserve"> and Thereafter</w:t>
            </w:r>
          </w:p>
        </w:tc>
      </w:tr>
      <w:tr w:rsidR="00E213BB" w:rsidTr="00ED13AC">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E213BB" w:rsidRPr="00F11982" w:rsidRDefault="00ED13AC"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E213BB" w:rsidRPr="00F11982">
              <w:rPr>
                <w:b/>
              </w:rPr>
              <w:t>State Revenue</w:t>
            </w:r>
            <w:r>
              <w:rPr>
                <w:b/>
              </w:rPr>
              <w:t xml:space="preserve"> Loss</w:t>
            </w:r>
          </w:p>
        </w:tc>
        <w:tc>
          <w:tcPr>
            <w:tcW w:w="5950" w:type="dxa"/>
            <w:tcBorders>
              <w:top w:val="nil"/>
              <w:left w:val="nil"/>
              <w:bottom w:val="nil"/>
              <w:right w:val="single" w:sz="6" w:space="0" w:color="auto"/>
            </w:tcBorders>
            <w:tcMar>
              <w:bottom w:w="29" w:type="dxa"/>
            </w:tcMar>
            <w:vAlign w:val="bottom"/>
          </w:tcPr>
          <w:p w:rsidR="00E213BB" w:rsidRDefault="00E213B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E213B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B54408" w:rsidP="00931094">
      <w:pPr>
        <w:pStyle w:val="StyleBulletedSymbolsymbol"/>
        <w:spacing w:after="0"/>
      </w:pPr>
      <w:r w:rsidRPr="00B54408">
        <w:t xml:space="preserve">The </w:t>
      </w:r>
      <w:r>
        <w:t>Office of Legislative Services (</w:t>
      </w:r>
      <w:r w:rsidRPr="00B54408">
        <w:t>OLS</w:t>
      </w:r>
      <w:r>
        <w:t>)</w:t>
      </w:r>
      <w:r w:rsidRPr="00B54408">
        <w:t xml:space="preserve"> </w:t>
      </w:r>
      <w:r w:rsidR="00AC589C">
        <w:t>concludes</w:t>
      </w:r>
      <w:r w:rsidRPr="00B54408">
        <w:t xml:space="preserve"> this bill will reduce revenue statutorily earmarked for the Casino Revenue Fund and the General Fund by allowing casino and horse racing permit holder</w:t>
      </w:r>
      <w:r>
        <w:t>s</w:t>
      </w:r>
      <w:r w:rsidRPr="00B54408">
        <w:t xml:space="preserve"> to deduct </w:t>
      </w:r>
      <w:r>
        <w:t>promotional gaming</w:t>
      </w:r>
      <w:r w:rsidRPr="00B54408">
        <w:t xml:space="preserve"> credits from their gross sports wagering revenues.  However, the absence of data related to the current application of promotional gaming credits within New Jersey’s sports wagering industry precludes the OLS from generating an estimate.</w:t>
      </w:r>
    </w:p>
    <w:p w:rsidR="00931094" w:rsidRDefault="00931094" w:rsidP="00931094">
      <w:pPr>
        <w:pStyle w:val="StyleBulletedSymbolsymbol"/>
        <w:numPr>
          <w:ilvl w:val="0"/>
          <w:numId w:val="0"/>
        </w:numPr>
        <w:spacing w:after="0"/>
        <w:ind w:left="360"/>
      </w:pPr>
    </w:p>
    <w:p w:rsidR="007E5EB3" w:rsidRDefault="00B54408" w:rsidP="00931094">
      <w:pPr>
        <w:pStyle w:val="StyleBulletedSymbolsymbol"/>
        <w:spacing w:after="0"/>
      </w:pPr>
      <w:r w:rsidRPr="00B54408">
        <w:t xml:space="preserve">For each $1 million in promotional gaming credits that a permit holder can deduct against gross revenue because of this bill, the State revenue loss would be roughly $100,000 to $150,000 when accounting for the two different tax rates (i.e. brick and mortar vs. </w:t>
      </w:r>
      <w:r w:rsidR="00991BBB">
        <w:t>I</w:t>
      </w:r>
      <w:r w:rsidRPr="00B54408">
        <w:t>nternet) and th</w:t>
      </w:r>
      <w:r>
        <w:t>e additional 1.25 percent tax.</w:t>
      </w:r>
    </w:p>
    <w:p w:rsidR="00255944" w:rsidRDefault="00255944" w:rsidP="007E5EB3"/>
    <w:p w:rsidR="00931094" w:rsidRDefault="0093109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5259A" w:rsidRDefault="0005259A" w:rsidP="0005259A">
      <w:pPr>
        <w:tabs>
          <w:tab w:val="left" w:pos="360"/>
          <w:tab w:val="left" w:pos="720"/>
          <w:tab w:val="left" w:pos="1440"/>
          <w:tab w:val="left" w:pos="2160"/>
          <w:tab w:val="left" w:pos="2880"/>
          <w:tab w:val="left" w:pos="3600"/>
          <w:tab w:val="left" w:pos="4320"/>
          <w:tab w:val="left" w:pos="5040"/>
        </w:tabs>
      </w:pPr>
      <w:r>
        <w:tab/>
        <w:t>This bill allows a deduction of promotional gaming credit from gross revenues on sports wagering.</w:t>
      </w:r>
      <w:r w:rsidR="00366862">
        <w:t xml:space="preserve">  </w:t>
      </w:r>
      <w:r>
        <w:t xml:space="preserve">Under current law, the sums received by a casino or horse racing permit holder from sports wagering and Internet sports wagering </w:t>
      </w:r>
      <w:r w:rsidR="00366862">
        <w:t>are</w:t>
      </w:r>
      <w:r>
        <w:t xml:space="preserve"> subject to an 8.5 percent tax for brick and mortar wagering, 13 percent tax for Internet wagering, and 1.25 percent tax for the Casino Reinv</w:t>
      </w:r>
      <w:r w:rsidR="00F81B63">
        <w:t>estment Development Authority.</w:t>
      </w:r>
    </w:p>
    <w:p w:rsidR="00255944" w:rsidRDefault="0005259A" w:rsidP="0005259A">
      <w:pPr>
        <w:tabs>
          <w:tab w:val="left" w:pos="360"/>
          <w:tab w:val="left" w:pos="720"/>
          <w:tab w:val="left" w:pos="1440"/>
          <w:tab w:val="left" w:pos="2160"/>
          <w:tab w:val="left" w:pos="2880"/>
          <w:tab w:val="left" w:pos="3600"/>
          <w:tab w:val="left" w:pos="4320"/>
          <w:tab w:val="left" w:pos="5040"/>
        </w:tabs>
      </w:pPr>
      <w:r>
        <w:lastRenderedPageBreak/>
        <w:tab/>
        <w:t>Under this bill, the first $</w:t>
      </w:r>
      <w:r w:rsidR="00366862">
        <w:t>12 million</w:t>
      </w:r>
      <w:r>
        <w:t xml:space="preserve"> of promotional gaming credits for Internet sports wagering issued by all casinos and racetracks that hold a sports wagering license would still be taxed</w:t>
      </w:r>
      <w:r w:rsidR="00E66095">
        <w:t>, but a</w:t>
      </w:r>
      <w:r>
        <w:t>ny am</w:t>
      </w:r>
      <w:r w:rsidR="001245E3">
        <w:t xml:space="preserve">ount </w:t>
      </w:r>
      <w:r w:rsidR="00E66095">
        <w:t>in excess</w:t>
      </w:r>
      <w:r w:rsidR="001245E3">
        <w:t xml:space="preserve"> would be deductible</w:t>
      </w:r>
      <w:r>
        <w:t xml:space="preserve"> from the gross revenues for Internet sports wagering.  The first $8</w:t>
      </w:r>
      <w:r w:rsidR="00366862">
        <w:t xml:space="preserve"> million</w:t>
      </w:r>
      <w:r>
        <w:t xml:space="preserve"> of promotional gaming credits for non-Internet sports wagering issued by all casinos and racetracks that hold a sports wagering license would still be taxed</w:t>
      </w:r>
      <w:r w:rsidR="00E66095">
        <w:t>, but any amount in excess would be deductible from the gross revenues for non-Internet sports wagering.</w:t>
      </w:r>
    </w:p>
    <w:p w:rsidR="0005259A" w:rsidRDefault="0005259A"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66862"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54408" w:rsidRDefault="00A7656D" w:rsidP="002D7863">
      <w:pPr>
        <w:tabs>
          <w:tab w:val="left" w:pos="360"/>
          <w:tab w:val="left" w:pos="720"/>
          <w:tab w:val="left" w:pos="1440"/>
          <w:tab w:val="left" w:pos="2160"/>
          <w:tab w:val="left" w:pos="2880"/>
          <w:tab w:val="left" w:pos="3600"/>
          <w:tab w:val="left" w:pos="4320"/>
          <w:tab w:val="left" w:pos="5040"/>
        </w:tabs>
      </w:pPr>
      <w:r>
        <w:tab/>
        <w:t xml:space="preserve">The OLS </w:t>
      </w:r>
      <w:r w:rsidR="00991BBB">
        <w:t>conc</w:t>
      </w:r>
      <w:r w:rsidR="00AC589C">
        <w:t>l</w:t>
      </w:r>
      <w:r w:rsidR="00991BBB">
        <w:t>udes</w:t>
      </w:r>
      <w:r>
        <w:t xml:space="preserve"> this bill will reduce revenue statutorily earmarked for the Casino Revenue Fund and the General Fund by </w:t>
      </w:r>
      <w:r w:rsidR="00B54408">
        <w:t>allowing</w:t>
      </w:r>
      <w:r>
        <w:t xml:space="preserve"> casino and horse racing permit holder</w:t>
      </w:r>
      <w:r w:rsidR="00B54408">
        <w:t>s</w:t>
      </w:r>
      <w:r>
        <w:t xml:space="preserve"> to </w:t>
      </w:r>
      <w:r w:rsidR="00B54408">
        <w:t>deduct promotional gaming credits from their gross sports wagering revenues</w:t>
      </w:r>
      <w:r>
        <w:t xml:space="preserve">. </w:t>
      </w:r>
      <w:r w:rsidR="00B54408">
        <w:t xml:space="preserve"> </w:t>
      </w:r>
      <w:r>
        <w:t>However, the absence of data related to the current application of promotional gaming credits within New Jersey’s sports wagering industry precludes the OLS from generating an estimate.</w:t>
      </w:r>
    </w:p>
    <w:p w:rsidR="00EF17BC" w:rsidRDefault="00B54408" w:rsidP="00EF17BC">
      <w:pPr>
        <w:tabs>
          <w:tab w:val="left" w:pos="360"/>
          <w:tab w:val="left" w:pos="720"/>
          <w:tab w:val="left" w:pos="1440"/>
          <w:tab w:val="left" w:pos="2160"/>
          <w:tab w:val="left" w:pos="2880"/>
          <w:tab w:val="left" w:pos="3600"/>
          <w:tab w:val="left" w:pos="4320"/>
          <w:tab w:val="left" w:pos="5040"/>
        </w:tabs>
      </w:pPr>
      <w:r>
        <w:tab/>
      </w:r>
      <w:r w:rsidR="005D3E00" w:rsidRPr="005D3E00">
        <w:t xml:space="preserve">The </w:t>
      </w:r>
      <w:r>
        <w:t xml:space="preserve">bill’s gross revenue deduction </w:t>
      </w:r>
      <w:r w:rsidR="005D3E00" w:rsidRPr="005D3E00">
        <w:t>is based on the total value of promotional gaming credits redeemed by a casino’s patrons in excess of $</w:t>
      </w:r>
      <w:r w:rsidR="00FF620C">
        <w:t>12</w:t>
      </w:r>
      <w:r w:rsidR="005D3E00" w:rsidRPr="005D3E00">
        <w:t xml:space="preserve"> million</w:t>
      </w:r>
      <w:r w:rsidR="00FF620C">
        <w:t xml:space="preserve"> for Internet sports wagering and $8 million for non-Internet sports wagering</w:t>
      </w:r>
      <w:r w:rsidR="005D3E00" w:rsidRPr="005D3E00">
        <w:t xml:space="preserve">.  </w:t>
      </w:r>
      <w:r>
        <w:t>For each</w:t>
      </w:r>
      <w:r w:rsidR="00FF620C">
        <w:t xml:space="preserve"> $1 million in promotional gaming credits </w:t>
      </w:r>
      <w:r>
        <w:t xml:space="preserve">that a permit holder can deduct against gross revenue </w:t>
      </w:r>
      <w:r w:rsidR="00FF620C">
        <w:t xml:space="preserve">because of this bill, the State revenue loss would be roughly </w:t>
      </w:r>
      <w:r w:rsidR="00A7656D">
        <w:t>$100,000 to $150,000 when accounting for the two different tax rates (i.e. brick and mortar vs. internet) and the additional 1.25 percent tax.</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5259A" w:rsidP="0005259A">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02FB1" w:rsidP="00EF17BC">
            <w:pPr>
              <w:pStyle w:val="10pointItalics"/>
            </w:pPr>
            <w:bookmarkStart w:id="3" w:name="UserFullName"/>
            <w:bookmarkEnd w:id="3"/>
            <w:r>
              <w:t xml:space="preserve">Jordan </w:t>
            </w:r>
            <w:r w:rsidR="0005259A">
              <w:t xml:space="preserve">M. </w:t>
            </w:r>
            <w:r>
              <w:t>DiGiovanni</w:t>
            </w:r>
          </w:p>
          <w:p w:rsidR="00EF17BC" w:rsidRDefault="0005259A" w:rsidP="0005259A">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31094" w:rsidRDefault="00931094" w:rsidP="00EF17BC">
      <w:pPr>
        <w:spacing w:line="287" w:lineRule="atLeast"/>
      </w:pPr>
    </w:p>
    <w:p w:rsidR="00EF17BC" w:rsidRDefault="00FB210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87292" w:rsidRDefault="0068729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B210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10B" w:rsidRDefault="00FB210B">
      <w:r>
        <w:separator/>
      </w:r>
    </w:p>
  </w:endnote>
  <w:endnote w:type="continuationSeparator" w:id="0">
    <w:p w:rsidR="00FB210B" w:rsidRDefault="00FB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C1EB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520207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10B" w:rsidRDefault="00FB210B">
      <w:r>
        <w:separator/>
      </w:r>
    </w:p>
  </w:footnote>
  <w:footnote w:type="continuationSeparator" w:id="0">
    <w:p w:rsidR="00FB210B" w:rsidRDefault="00FB2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10B" w:rsidRDefault="00FB210B" w:rsidP="00FB210B">
    <w:pPr>
      <w:pStyle w:val="Header"/>
      <w:jc w:val="center"/>
    </w:pPr>
    <w:r>
      <w:t xml:space="preserve">FE to S 2257 </w:t>
    </w:r>
  </w:p>
  <w:p w:rsidR="00FB210B" w:rsidRDefault="00FB210B" w:rsidP="00FB210B">
    <w:pPr>
      <w:pStyle w:val="Header"/>
      <w:jc w:val="center"/>
    </w:pPr>
    <w:r>
      <w:fldChar w:fldCharType="begin"/>
    </w:r>
    <w:r>
      <w:instrText xml:space="preserve"> PAGE  \* MERGEFORMAT </w:instrText>
    </w:r>
    <w:r>
      <w:fldChar w:fldCharType="separate"/>
    </w:r>
    <w:r w:rsidR="007C1EB0">
      <w:rPr>
        <w:noProof/>
      </w:rPr>
      <w:t>2</w:t>
    </w:r>
    <w:r>
      <w:fldChar w:fldCharType="end"/>
    </w:r>
  </w:p>
  <w:p w:rsidR="00FB210B" w:rsidRDefault="00FB210B" w:rsidP="00FB21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10B"/>
    <w:rsid w:val="00011EDD"/>
    <w:rsid w:val="00013973"/>
    <w:rsid w:val="000333DF"/>
    <w:rsid w:val="00036860"/>
    <w:rsid w:val="00042B0B"/>
    <w:rsid w:val="0005259A"/>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45E3"/>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79E9"/>
    <w:rsid w:val="002518C8"/>
    <w:rsid w:val="00255944"/>
    <w:rsid w:val="00261FC7"/>
    <w:rsid w:val="00275600"/>
    <w:rsid w:val="002806D4"/>
    <w:rsid w:val="00284C1D"/>
    <w:rsid w:val="00290E57"/>
    <w:rsid w:val="0029229D"/>
    <w:rsid w:val="002935AA"/>
    <w:rsid w:val="002977FC"/>
    <w:rsid w:val="002A15C4"/>
    <w:rsid w:val="002A2F18"/>
    <w:rsid w:val="002A5C0C"/>
    <w:rsid w:val="002B7D20"/>
    <w:rsid w:val="002D4307"/>
    <w:rsid w:val="002D7381"/>
    <w:rsid w:val="002D7863"/>
    <w:rsid w:val="002E3A30"/>
    <w:rsid w:val="002F1D0C"/>
    <w:rsid w:val="002F5E01"/>
    <w:rsid w:val="00326E3B"/>
    <w:rsid w:val="003321A7"/>
    <w:rsid w:val="00335BC0"/>
    <w:rsid w:val="003376CB"/>
    <w:rsid w:val="00353325"/>
    <w:rsid w:val="0035698A"/>
    <w:rsid w:val="00362F0A"/>
    <w:rsid w:val="003646BC"/>
    <w:rsid w:val="00366862"/>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0DCE"/>
    <w:rsid w:val="00485323"/>
    <w:rsid w:val="00487665"/>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3E00"/>
    <w:rsid w:val="005E03E7"/>
    <w:rsid w:val="005E75AB"/>
    <w:rsid w:val="00601F73"/>
    <w:rsid w:val="00602FB1"/>
    <w:rsid w:val="00625D15"/>
    <w:rsid w:val="00651611"/>
    <w:rsid w:val="00653AE2"/>
    <w:rsid w:val="006671C7"/>
    <w:rsid w:val="0068054A"/>
    <w:rsid w:val="00687292"/>
    <w:rsid w:val="006917CF"/>
    <w:rsid w:val="00692BD4"/>
    <w:rsid w:val="006B22F3"/>
    <w:rsid w:val="006B2FD5"/>
    <w:rsid w:val="006B5C2D"/>
    <w:rsid w:val="006B6C16"/>
    <w:rsid w:val="006D6F6C"/>
    <w:rsid w:val="006F239A"/>
    <w:rsid w:val="006F505D"/>
    <w:rsid w:val="006F7203"/>
    <w:rsid w:val="00722AEF"/>
    <w:rsid w:val="00737A6C"/>
    <w:rsid w:val="00743F01"/>
    <w:rsid w:val="007448DA"/>
    <w:rsid w:val="00744AE4"/>
    <w:rsid w:val="00763D60"/>
    <w:rsid w:val="007833B1"/>
    <w:rsid w:val="007920AC"/>
    <w:rsid w:val="007A0F7E"/>
    <w:rsid w:val="007A42C5"/>
    <w:rsid w:val="007A65A1"/>
    <w:rsid w:val="007B1FCF"/>
    <w:rsid w:val="007C1EB0"/>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E7730"/>
    <w:rsid w:val="008F6881"/>
    <w:rsid w:val="00931094"/>
    <w:rsid w:val="00937A78"/>
    <w:rsid w:val="00947B1E"/>
    <w:rsid w:val="00953C08"/>
    <w:rsid w:val="00973C29"/>
    <w:rsid w:val="00991BBB"/>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656D"/>
    <w:rsid w:val="00A9794C"/>
    <w:rsid w:val="00AB0440"/>
    <w:rsid w:val="00AC3FC5"/>
    <w:rsid w:val="00AC589C"/>
    <w:rsid w:val="00AD340B"/>
    <w:rsid w:val="00AE3966"/>
    <w:rsid w:val="00AF11C6"/>
    <w:rsid w:val="00B002D1"/>
    <w:rsid w:val="00B057F1"/>
    <w:rsid w:val="00B143A9"/>
    <w:rsid w:val="00B4569E"/>
    <w:rsid w:val="00B45879"/>
    <w:rsid w:val="00B54408"/>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6048"/>
    <w:rsid w:val="00DF054C"/>
    <w:rsid w:val="00DF65C1"/>
    <w:rsid w:val="00E008A4"/>
    <w:rsid w:val="00E042C5"/>
    <w:rsid w:val="00E06D7C"/>
    <w:rsid w:val="00E213BB"/>
    <w:rsid w:val="00E21963"/>
    <w:rsid w:val="00E22D9A"/>
    <w:rsid w:val="00E262A3"/>
    <w:rsid w:val="00E32D2F"/>
    <w:rsid w:val="00E51E95"/>
    <w:rsid w:val="00E5461B"/>
    <w:rsid w:val="00E66095"/>
    <w:rsid w:val="00E708C9"/>
    <w:rsid w:val="00E74E35"/>
    <w:rsid w:val="00E75B93"/>
    <w:rsid w:val="00E86D2A"/>
    <w:rsid w:val="00E9123C"/>
    <w:rsid w:val="00E95800"/>
    <w:rsid w:val="00EB1C90"/>
    <w:rsid w:val="00EC1EF8"/>
    <w:rsid w:val="00EC2547"/>
    <w:rsid w:val="00EC4079"/>
    <w:rsid w:val="00ED13AC"/>
    <w:rsid w:val="00EE7D05"/>
    <w:rsid w:val="00EF17BC"/>
    <w:rsid w:val="00EF3B9C"/>
    <w:rsid w:val="00F04CAD"/>
    <w:rsid w:val="00F11982"/>
    <w:rsid w:val="00F2634D"/>
    <w:rsid w:val="00F332CE"/>
    <w:rsid w:val="00F35009"/>
    <w:rsid w:val="00F4083E"/>
    <w:rsid w:val="00F45BA7"/>
    <w:rsid w:val="00F51DD4"/>
    <w:rsid w:val="00F64D56"/>
    <w:rsid w:val="00F73621"/>
    <w:rsid w:val="00F81B63"/>
    <w:rsid w:val="00F82B11"/>
    <w:rsid w:val="00F873F0"/>
    <w:rsid w:val="00FA6D2B"/>
    <w:rsid w:val="00FB15DB"/>
    <w:rsid w:val="00FB210B"/>
    <w:rsid w:val="00FC7DA9"/>
    <w:rsid w:val="00FD2F99"/>
    <w:rsid w:val="00FE5C5C"/>
    <w:rsid w:val="00FE76BC"/>
    <w:rsid w:val="00FF5039"/>
    <w:rsid w:val="00FF5607"/>
    <w:rsid w:val="00FF6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80F3B56-531B-4B2C-A0F5-5BE930B4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590</Words>
  <Characters>3267</Characters>
  <Application>Microsoft Office Word</Application>
  <DocSecurity>0</DocSecurity>
  <Lines>93</Lines>
  <Paragraphs>38</Paragraphs>
  <ScaleCrop>false</ScaleCrop>
  <HeadingPairs>
    <vt:vector size="2" baseType="variant">
      <vt:variant>
        <vt:lpstr>Title</vt:lpstr>
      </vt:variant>
      <vt:variant>
        <vt:i4>1</vt:i4>
      </vt:variant>
    </vt:vector>
  </HeadingPairs>
  <TitlesOfParts>
    <vt:vector size="1" baseType="lpstr">
      <vt:lpstr>S2257   FISCAL ESTIMATE</vt:lpstr>
    </vt:vector>
  </TitlesOfParts>
  <Manager>Jordan M. DiGiovanni; R230</Manager>
  <Company>Office of Legislative Services</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S2257   FISCAL ESTIMATE</dc:title>
  <dc:creator>Senator GOPAL Senato SARLO</dc:creator>
  <cp:keywords>S2257|2|RF |282|265|265|!||</cp:keywords>
  <dc:description>Sent to Sponsor 6/29/20 BPU 7/2/20</dc:description>
  <cp:lastModifiedBy>Bektas, Brenda</cp:lastModifiedBy>
  <cp:revision>2</cp:revision>
  <dcterms:created xsi:type="dcterms:W3CDTF">2020-07-02T17:35:00Z</dcterms:created>
  <dcterms:modified xsi:type="dcterms:W3CDTF">2020-07-02T17:35:00Z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