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4D2BD3">
      <w:pPr>
        <w:pStyle w:val="NormalFloor"/>
        <w:ind w:left="360" w:hanging="360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D524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DD524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2323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D524C">
        <w:t>Senate Floor Amendments</w:t>
      </w:r>
    </w:p>
    <w:p w:rsidR="00DA6F1D" w:rsidRDefault="00DD524C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D524C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D524C" w:rsidRDefault="00DD524C" w:rsidP="00DD524C"/>
    <w:p w:rsidR="00DD524C" w:rsidRPr="00DA6F1D" w:rsidRDefault="00DD524C" w:rsidP="00A74B07">
      <w:r>
        <w:tab/>
        <w:t xml:space="preserve">These floor amendments remove language that requires a </w:t>
      </w:r>
      <w:r w:rsidRPr="00BC6122">
        <w:t xml:space="preserve">prescriber to issue a patient a prescription for an opioid antidote if </w:t>
      </w:r>
      <w:r>
        <w:t>the patient has been</w:t>
      </w:r>
      <w:r w:rsidRPr="006A48A7">
        <w:t xml:space="preserve"> dispensed a benzodiazepine drug that is a Schedule III or Schedule IV controlled dangerous substance within </w:t>
      </w:r>
      <w:r>
        <w:t>the preceding 45 days.</w:t>
      </w:r>
    </w:p>
    <w:sectPr w:rsidR="00DD524C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2BD3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26753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D524C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3CD1EC0-9481-4D3E-B3AB-03213223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345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S2323 Senate NOVEMBER 16, 2020</vt:lpstr>
    </vt:vector>
  </TitlesOfParts>
  <Manager>R229</Manager>
  <Company>Office of Legislative Services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S2323 1R Senate Statement  11/16/20</dc:title>
  <dc:subject/>
  <dc:creator>Senate</dc:creator>
  <cp:keywords>S2323|1|HS |263|0|0|!||</cp:keywords>
  <dc:description/>
  <cp:lastModifiedBy>Bell, Careema</cp:lastModifiedBy>
  <cp:revision>2</cp:revision>
  <dcterms:created xsi:type="dcterms:W3CDTF">2020-11-17T17:05:00Z</dcterms:created>
  <dcterms:modified xsi:type="dcterms:W3CDTF">2020-11-17T17:05:00Z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