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06603" w:rsidP="00407C9E">
      <w:pPr>
        <w:pStyle w:val="NoteOrEstimate"/>
      </w:pPr>
      <w:r>
        <w:t>LEGISLATIVE FISCAL ESTIMATE</w:t>
      </w:r>
    </w:p>
    <w:p w:rsidR="003C5892" w:rsidRDefault="007C398F" w:rsidP="002D7863">
      <w:pPr>
        <w:pStyle w:val="BillNo"/>
        <w:tabs>
          <w:tab w:val="left" w:pos="360"/>
          <w:tab w:val="left" w:pos="720"/>
          <w:tab w:val="left" w:pos="1440"/>
          <w:tab w:val="left" w:pos="2160"/>
          <w:tab w:val="left" w:pos="2880"/>
          <w:tab w:val="left" w:pos="3600"/>
          <w:tab w:val="left" w:pos="4320"/>
          <w:tab w:val="left" w:pos="5040"/>
        </w:tabs>
      </w:pPr>
      <w:r>
        <w:t>SENATE</w:t>
      </w:r>
      <w:r w:rsidR="00E06603">
        <w:t>,</w:t>
      </w:r>
      <w:r w:rsidR="003C5892">
        <w:t xml:space="preserve"> No. </w:t>
      </w:r>
      <w:r>
        <w:t>2347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83F5E" w:rsidP="00583F5E">
      <w:pPr>
        <w:pStyle w:val="BillNo"/>
      </w:pPr>
      <w:r>
        <w:t>219th LEGISLATURE</w:t>
      </w:r>
    </w:p>
    <w:p w:rsidR="00353325" w:rsidRDefault="00353325" w:rsidP="00353325"/>
    <w:p w:rsidR="00583F5E" w:rsidRDefault="00583F5E" w:rsidP="00583F5E">
      <w:pPr>
        <w:jc w:val="center"/>
      </w:pPr>
      <w:r>
        <w:t>DATED: MAY 21, 2020</w:t>
      </w:r>
    </w:p>
    <w:p w:rsidR="00583F5E" w:rsidRDefault="00583F5E" w:rsidP="00353325"/>
    <w:p w:rsidR="00583F5E" w:rsidRDefault="00583F5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73B00" w:rsidP="00515AC5">
            <w:r>
              <w:t xml:space="preserve">Establishes Employment and Business-Related Tax Deferral Assistance Program in EDA to allow small businesses to defer the payment and remittance of certain employment and business-related taxes during COVID-19 public health emergency.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21DFA" w:rsidP="00515AC5">
            <w:r>
              <w:t xml:space="preserve">Delay in </w:t>
            </w:r>
            <w:r w:rsidR="006746B7">
              <w:t xml:space="preserve">State </w:t>
            </w:r>
            <w:r>
              <w:t>revenue collections</w:t>
            </w:r>
            <w:r w:rsidR="006746B7">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F14AA" w:rsidP="006746B7">
            <w:r>
              <w:t xml:space="preserve">Economic Development Authority, </w:t>
            </w:r>
            <w:r w:rsidR="006746B7">
              <w:t>Department of the Treasury</w:t>
            </w:r>
            <w:r>
              <w:t xml:space="preserve">, </w:t>
            </w:r>
            <w:r w:rsidR="006746B7">
              <w:t xml:space="preserve">and </w:t>
            </w:r>
            <w:r w:rsidR="00A45661">
              <w:t>Department of Labor and Workforce Development</w:t>
            </w:r>
            <w:r w:rsidR="006746B7">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39" w:type="dxa"/>
        <w:tblInd w:w="92" w:type="dxa"/>
        <w:tblLayout w:type="fixed"/>
        <w:tblCellMar>
          <w:left w:w="100" w:type="dxa"/>
          <w:right w:w="100" w:type="dxa"/>
        </w:tblCellMar>
        <w:tblLook w:val="0000" w:firstRow="0" w:lastRow="0" w:firstColumn="0" w:lastColumn="0" w:noHBand="0" w:noVBand="0"/>
      </w:tblPr>
      <w:tblGrid>
        <w:gridCol w:w="4007"/>
        <w:gridCol w:w="5332"/>
      </w:tblGrid>
      <w:tr w:rsidR="00B7137B" w:rsidTr="00B7137B">
        <w:trPr>
          <w:trHeight w:val="342"/>
        </w:trPr>
        <w:tc>
          <w:tcPr>
            <w:tcW w:w="4007" w:type="dxa"/>
            <w:tcBorders>
              <w:top w:val="single" w:sz="6" w:space="0" w:color="auto"/>
              <w:left w:val="single" w:sz="6" w:space="0" w:color="auto"/>
              <w:bottom w:val="single" w:sz="4" w:space="0" w:color="auto"/>
              <w:right w:val="nil"/>
            </w:tcBorders>
            <w:shd w:val="pct20" w:color="auto" w:fill="auto"/>
            <w:vAlign w:val="bottom"/>
          </w:tcPr>
          <w:p w:rsidR="00B7137B" w:rsidRPr="00F11982" w:rsidRDefault="00B7137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332" w:type="dxa"/>
            <w:tcBorders>
              <w:top w:val="single" w:sz="6" w:space="0" w:color="auto"/>
              <w:left w:val="nil"/>
              <w:bottom w:val="single" w:sz="12" w:space="0" w:color="auto"/>
              <w:right w:val="single" w:sz="6" w:space="0" w:color="auto"/>
            </w:tcBorders>
            <w:shd w:val="pct20" w:color="auto" w:fill="auto"/>
            <w:vAlign w:val="bottom"/>
          </w:tcPr>
          <w:p w:rsidR="00B7137B" w:rsidRPr="00F11982" w:rsidRDefault="00B21DFA"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Fiscal Years 2020 to 2022</w:t>
            </w:r>
            <w:r w:rsidR="00B7137B" w:rsidRPr="00F11982">
              <w:rPr>
                <w:b/>
              </w:rPr>
              <w:t xml:space="preserve">  </w:t>
            </w:r>
          </w:p>
        </w:tc>
      </w:tr>
      <w:tr w:rsidR="00B7137B" w:rsidTr="00B7137B">
        <w:trPr>
          <w:trHeight w:val="342"/>
        </w:trPr>
        <w:tc>
          <w:tcPr>
            <w:tcW w:w="4007" w:type="dxa"/>
            <w:tcBorders>
              <w:top w:val="nil"/>
              <w:left w:val="single" w:sz="6" w:space="0" w:color="auto"/>
              <w:bottom w:val="single" w:sz="4" w:space="0" w:color="auto"/>
              <w:right w:val="nil"/>
            </w:tcBorders>
            <w:tcMar>
              <w:bottom w:w="29" w:type="dxa"/>
            </w:tcMar>
            <w:vAlign w:val="bottom"/>
          </w:tcPr>
          <w:p w:rsidR="00B7137B" w:rsidRPr="00F11982" w:rsidRDefault="00B7137B"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p>
        </w:tc>
        <w:tc>
          <w:tcPr>
            <w:tcW w:w="5332" w:type="dxa"/>
            <w:tcBorders>
              <w:top w:val="nil"/>
              <w:left w:val="nil"/>
              <w:bottom w:val="single" w:sz="4" w:space="0" w:color="auto"/>
              <w:right w:val="single" w:sz="6" w:space="0" w:color="auto"/>
            </w:tcBorders>
            <w:tcMar>
              <w:bottom w:w="29" w:type="dxa"/>
            </w:tcMar>
            <w:vAlign w:val="bottom"/>
          </w:tcPr>
          <w:p w:rsidR="00B7137B" w:rsidRDefault="00B7137B" w:rsidP="002D7863">
            <w:pPr>
              <w:tabs>
                <w:tab w:val="left" w:pos="360"/>
                <w:tab w:val="left" w:pos="720"/>
                <w:tab w:val="left" w:pos="1440"/>
                <w:tab w:val="left" w:pos="2160"/>
                <w:tab w:val="left" w:pos="2880"/>
                <w:tab w:val="left" w:pos="3600"/>
                <w:tab w:val="left" w:pos="4320"/>
                <w:tab w:val="left" w:pos="5040"/>
              </w:tabs>
              <w:jc w:val="center"/>
            </w:pPr>
            <w:r>
              <w:t xml:space="preserve">Indeterminate amount of revenue shifted from FY 2020 to FY 2021 and FY 2022. </w:t>
            </w: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6746B7" w:rsidP="00583F5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w:t>
      </w:r>
      <w:r w:rsidR="006C1845">
        <w:t xml:space="preserve">his bill will result in an indeterminate amount of revenue shifted from FY 2020 to FY 2021 and FY 2022.  </w:t>
      </w:r>
      <w:r w:rsidR="008221E0">
        <w:t xml:space="preserve">The magnitude of the shift </w:t>
      </w:r>
      <w:r w:rsidR="006C1845">
        <w:t>will be affected by factors such as the number of small employers that decide to participate in the program and the specific agreement the small employer enters into with the Economic Development Authority</w:t>
      </w:r>
      <w:r w:rsidR="008221E0">
        <w:t xml:space="preserve"> (EDA)</w:t>
      </w:r>
      <w:r w:rsidR="006C1845">
        <w:t xml:space="preserve">. </w:t>
      </w:r>
    </w:p>
    <w:p w:rsidR="00583F5E" w:rsidRDefault="00583F5E" w:rsidP="00583F5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6C1845" w:rsidP="00583F5E">
      <w:pPr>
        <w:pStyle w:val="StyleBulletedSymbolsymbol"/>
        <w:tabs>
          <w:tab w:val="num" w:pos="360"/>
        </w:tabs>
        <w:spacing w:after="0"/>
      </w:pPr>
      <w:r>
        <w:t xml:space="preserve">The </w:t>
      </w:r>
      <w:r w:rsidR="008221E0">
        <w:t>OLS</w:t>
      </w:r>
      <w:r>
        <w:t xml:space="preserve"> estimates this bill could potentially result in a shift of approximately $</w:t>
      </w:r>
      <w:r w:rsidR="00D2203C">
        <w:t>76</w:t>
      </w:r>
      <w:r>
        <w:t>.4 million to $</w:t>
      </w:r>
      <w:r w:rsidR="000E6EEF">
        <w:t>178.3</w:t>
      </w:r>
      <w:r>
        <w:t xml:space="preserve"> million in revenue </w:t>
      </w:r>
      <w:r w:rsidR="00A45661">
        <w:t xml:space="preserve">from the </w:t>
      </w:r>
      <w:r w:rsidR="008221E0">
        <w:t>g</w:t>
      </w:r>
      <w:r w:rsidR="00A45661">
        <w:t xml:space="preserve">ross </w:t>
      </w:r>
      <w:r w:rsidR="008221E0">
        <w:t>i</w:t>
      </w:r>
      <w:r w:rsidR="00A45661">
        <w:t xml:space="preserve">ncome </w:t>
      </w:r>
      <w:r w:rsidR="008221E0">
        <w:t>t</w:t>
      </w:r>
      <w:r w:rsidR="00A45661">
        <w:t xml:space="preserve">ax and payroll taxes </w:t>
      </w:r>
      <w:r>
        <w:t xml:space="preserve">from FY 2020 to FY 2021 and FY 2022. </w:t>
      </w:r>
      <w:r w:rsidR="00A45661">
        <w:t xml:space="preserve">The OLS </w:t>
      </w:r>
      <w:r w:rsidR="00B14ADE">
        <w:t>lacks sufficient information</w:t>
      </w:r>
      <w:r w:rsidR="00A45661">
        <w:t xml:space="preserve"> to provide an estimate for the sales and use tax, petroleum products gross receipts tax, or motor fuels tax, and therefore the overall cost </w:t>
      </w:r>
      <w:r w:rsidR="007B1878">
        <w:t>estimate for</w:t>
      </w:r>
      <w:r w:rsidR="00A45661">
        <w:t xml:space="preserve"> the bill is indeterminate</w:t>
      </w:r>
      <w:r w:rsidR="00C15429">
        <w:t>.</w:t>
      </w:r>
    </w:p>
    <w:p w:rsidR="00583F5E" w:rsidRDefault="00583F5E" w:rsidP="00583F5E">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7B3969">
        <w:t xml:space="preserve">This bill creates the Employment and Business-Related Tax Deferral Assistance Program in the EDA to allow small businesses (defined as ten </w:t>
      </w:r>
      <w:r w:rsidR="006766CA">
        <w:t xml:space="preserve">full-time equivalent </w:t>
      </w:r>
      <w:r w:rsidR="007B3969">
        <w:t xml:space="preserve">employees or less) to defer the payment and remittance of certain employment and business-related taxes during the </w:t>
      </w:r>
      <w:r w:rsidR="006766CA">
        <w:t>coronavirus disease 2019 (</w:t>
      </w:r>
      <w:r w:rsidR="007B3969">
        <w:t>COVID-19</w:t>
      </w:r>
      <w:r w:rsidR="006766CA">
        <w:t>)</w:t>
      </w:r>
      <w:r w:rsidR="007B3969">
        <w:t xml:space="preserve"> pandemic.  </w:t>
      </w:r>
    </w:p>
    <w:p w:rsidR="007B3969" w:rsidRDefault="007B3969" w:rsidP="002D7863">
      <w:pPr>
        <w:tabs>
          <w:tab w:val="left" w:pos="360"/>
          <w:tab w:val="left" w:pos="720"/>
          <w:tab w:val="left" w:pos="1440"/>
          <w:tab w:val="left" w:pos="2160"/>
          <w:tab w:val="left" w:pos="2880"/>
          <w:tab w:val="left" w:pos="3600"/>
          <w:tab w:val="left" w:pos="4320"/>
          <w:tab w:val="left" w:pos="5040"/>
        </w:tabs>
      </w:pPr>
      <w:r>
        <w:tab/>
        <w:t xml:space="preserve">The small business </w:t>
      </w:r>
      <w:r w:rsidR="0070452E">
        <w:t>must</w:t>
      </w:r>
      <w:r>
        <w:t xml:space="preserve"> apply by July 31, 2020 and demonstrate that it has been negatively impacted by the COVID-19 pandemic through either </w:t>
      </w:r>
      <w:r w:rsidR="006766CA">
        <w:t xml:space="preserve">a temporary </w:t>
      </w:r>
      <w:proofErr w:type="spellStart"/>
      <w:r w:rsidR="006766CA">
        <w:t>shut down</w:t>
      </w:r>
      <w:proofErr w:type="spellEnd"/>
      <w:r w:rsidR="006766CA">
        <w:t xml:space="preserve">, </w:t>
      </w:r>
      <w:r>
        <w:t xml:space="preserve">reduced hours, </w:t>
      </w:r>
      <w:r w:rsidR="0070452E">
        <w:t xml:space="preserve">a </w:t>
      </w:r>
      <w:r>
        <w:t xml:space="preserve">20 </w:t>
      </w:r>
      <w:r>
        <w:lastRenderedPageBreak/>
        <w:t>percent drop in revenue, employees unable to work, or a d</w:t>
      </w:r>
      <w:r w:rsidR="0061127F">
        <w:t xml:space="preserve">isruption in the supply chain.  If </w:t>
      </w:r>
      <w:r w:rsidR="00C861A7">
        <w:t xml:space="preserve">the application is </w:t>
      </w:r>
      <w:r w:rsidR="0061127F">
        <w:t xml:space="preserve">approved by the EDA, the EDA </w:t>
      </w:r>
      <w:r w:rsidR="0070452E">
        <w:t xml:space="preserve">will </w:t>
      </w:r>
      <w:r w:rsidR="0061127F">
        <w:t xml:space="preserve">enter into an agreement with the small business to set the terms for the deferment and subsequent payment or remittance of the employment or business-related tax.  The small business </w:t>
      </w:r>
      <w:r w:rsidR="00C413C4">
        <w:t>wi</w:t>
      </w:r>
      <w:r w:rsidR="0061127F">
        <w:t xml:space="preserve">ll be required to pay or remit 50 percent of the applicable employment and business-related taxes that the small business has imposed and collected but elected to defer during the deferment period no later than June 30, 2021.  The small business then has until June 30, 2022 to pay or remit the remaining balance. </w:t>
      </w:r>
      <w:r w:rsidR="005234DB">
        <w:t xml:space="preserve">The employment and </w:t>
      </w:r>
      <w:r w:rsidR="0070452E">
        <w:t>business-</w:t>
      </w:r>
      <w:r w:rsidR="005234DB">
        <w:t xml:space="preserve">related taxes that are affected by this bill include the gross income tax, sales and use tax, petroleum products gross receipts tax, motor fuel tax, unemployment compensation, temporary disability benefits, and workers’ compensation.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F14A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21759" w:rsidRPr="00D40265">
        <w:t>The OLS finds that this bill will result in an indeterminate amount of revenue shifted from FY 2020 to FY 2021 and FY 2022.  The magnitude of the shift will be affected by factors such as the number of small employers that decide to participate in the program and the specific agreement the small employer enters into with the EDA</w:t>
      </w:r>
      <w:r w:rsidR="00512CD8" w:rsidRPr="00D40265">
        <w:t>.</w:t>
      </w:r>
      <w:r w:rsidR="007C77FF" w:rsidRPr="00D40265">
        <w:t xml:space="preserve">  The</w:t>
      </w:r>
      <w:r w:rsidR="007C77FF">
        <w:t xml:space="preserve"> OLS estimates this bill could potentially result in a shift of approximately $76.4 million to $178.3 million in revenue from the gross income tax and payroll taxes from FY 2020 to FY 2021 and FY 2022. </w:t>
      </w:r>
      <w:r w:rsidR="00D40265">
        <w:t>The OLS lacks sufficient information to provide an estimate for the sales and use tax, petroleum products gross receipts tax, or motor fuels tax.</w:t>
      </w:r>
      <w:r w:rsidR="00512CD8">
        <w:t xml:space="preserve">  </w:t>
      </w:r>
    </w:p>
    <w:p w:rsidR="00BC4C43" w:rsidRDefault="00BC4C43" w:rsidP="002D7863">
      <w:pPr>
        <w:tabs>
          <w:tab w:val="left" w:pos="360"/>
          <w:tab w:val="left" w:pos="720"/>
          <w:tab w:val="left" w:pos="1440"/>
          <w:tab w:val="left" w:pos="2160"/>
          <w:tab w:val="left" w:pos="2880"/>
          <w:tab w:val="left" w:pos="3600"/>
          <w:tab w:val="left" w:pos="4320"/>
          <w:tab w:val="left" w:pos="5040"/>
        </w:tabs>
      </w:pPr>
      <w:r>
        <w:tab/>
      </w:r>
      <w:r w:rsidR="000E499A">
        <w:t xml:space="preserve">Based on data from the United States Census Bureau, </w:t>
      </w:r>
      <w:r w:rsidR="00C413C4">
        <w:t xml:space="preserve">the </w:t>
      </w:r>
      <w:r w:rsidR="000E499A">
        <w:t xml:space="preserve">OLS </w:t>
      </w:r>
      <w:r w:rsidR="0070452E">
        <w:t xml:space="preserve">calculates </w:t>
      </w:r>
      <w:r w:rsidR="000E499A">
        <w:t xml:space="preserve">that there are approximately 436,420 employees who work in firms with ten employees or less.  </w:t>
      </w:r>
      <w:r w:rsidR="0070452E">
        <w:t xml:space="preserve">For purposes of this estimate, the </w:t>
      </w:r>
      <w:r w:rsidR="000E499A">
        <w:t xml:space="preserve">OLS </w:t>
      </w:r>
      <w:r w:rsidR="0070452E">
        <w:t xml:space="preserve">assumes </w:t>
      </w:r>
      <w:r w:rsidR="000E499A">
        <w:t>these employees have an annual income of $30,000</w:t>
      </w:r>
      <w:r w:rsidR="0070452E">
        <w:t xml:space="preserve">, and that between </w:t>
      </w:r>
      <w:r w:rsidR="000E499A">
        <w:t xml:space="preserve">30 </w:t>
      </w:r>
      <w:r w:rsidR="0070452E">
        <w:t xml:space="preserve">and 70 </w:t>
      </w:r>
      <w:r w:rsidR="000E499A">
        <w:t xml:space="preserve">percent of these employees </w:t>
      </w:r>
      <w:r w:rsidR="0070452E">
        <w:t xml:space="preserve">are </w:t>
      </w:r>
      <w:r w:rsidR="000E499A">
        <w:t xml:space="preserve">in firms that </w:t>
      </w:r>
      <w:r w:rsidR="00465785">
        <w:t>participate in</w:t>
      </w:r>
      <w:r w:rsidR="000E499A">
        <w:t xml:space="preserve"> the deferral assistance program.  As a result, the lower bound of employees is approximately 130,926 employees and the upper bound of employees is approximately 305,494 employees. </w:t>
      </w:r>
      <w:r w:rsidR="003364BD">
        <w:t xml:space="preserve">Based on the 2016 Statistics of Income Report, </w:t>
      </w:r>
      <w:r w:rsidR="00C413C4">
        <w:t xml:space="preserve">the </w:t>
      </w:r>
      <w:r w:rsidR="003364BD">
        <w:t xml:space="preserve">OLS applied a 1.1 percent effective tax rate to the $30,000 </w:t>
      </w:r>
      <w:r w:rsidR="00465785">
        <w:t xml:space="preserve">assumed income </w:t>
      </w:r>
      <w:r w:rsidR="003364BD">
        <w:t xml:space="preserve">to arrive at a gross income tax revenue </w:t>
      </w:r>
      <w:r w:rsidR="00465785">
        <w:t xml:space="preserve">of </w:t>
      </w:r>
      <w:r w:rsidR="003364BD">
        <w:t xml:space="preserve">$330 per employee. </w:t>
      </w:r>
      <w:r w:rsidR="00C413C4">
        <w:t xml:space="preserve">The </w:t>
      </w:r>
      <w:r w:rsidR="003364BD">
        <w:t xml:space="preserve">OLS then multiplied $330 by the </w:t>
      </w:r>
      <w:r w:rsidR="00A45661">
        <w:t>aforementioned</w:t>
      </w:r>
      <w:r w:rsidR="00465785">
        <w:t xml:space="preserve"> estimates of the</w:t>
      </w:r>
      <w:r w:rsidR="00CB55B2">
        <w:t xml:space="preserve"> number of employees</w:t>
      </w:r>
      <w:r w:rsidR="003364BD">
        <w:t xml:space="preserve"> to calculate a lower bound </w:t>
      </w:r>
      <w:r w:rsidR="00465785">
        <w:t xml:space="preserve">revenue deferral estimate </w:t>
      </w:r>
      <w:r w:rsidR="003364BD">
        <w:t xml:space="preserve">of $43.2 million in gross income tax shifted from FY 2020 to FY 2021 and FY 2022, and an upper bound of $100.8 million in gross income tax shifted from FY 2020 to FY 2021 and FY 2022. </w:t>
      </w:r>
    </w:p>
    <w:p w:rsidR="00786D65" w:rsidRDefault="00786D65" w:rsidP="002D7863">
      <w:pPr>
        <w:tabs>
          <w:tab w:val="left" w:pos="360"/>
          <w:tab w:val="left" w:pos="720"/>
          <w:tab w:val="left" w:pos="1440"/>
          <w:tab w:val="left" w:pos="2160"/>
          <w:tab w:val="left" w:pos="2880"/>
          <w:tab w:val="left" w:pos="3600"/>
          <w:tab w:val="left" w:pos="4320"/>
          <w:tab w:val="left" w:pos="5040"/>
        </w:tabs>
      </w:pPr>
      <w:r>
        <w:tab/>
      </w:r>
      <w:r w:rsidR="006D2265">
        <w:t xml:space="preserve">This analysis </w:t>
      </w:r>
      <w:r w:rsidR="007C77FF">
        <w:t xml:space="preserve">also </w:t>
      </w:r>
      <w:r w:rsidR="006D2265">
        <w:t>utilizes</w:t>
      </w:r>
      <w:r>
        <w:t xml:space="preserve"> data from the Department of Labor </w:t>
      </w:r>
      <w:r w:rsidR="00C413C4">
        <w:t xml:space="preserve">and Workforce Development </w:t>
      </w:r>
      <w:r>
        <w:t xml:space="preserve">to estimate the deferral of other employment related costs such as </w:t>
      </w:r>
      <w:r w:rsidR="00E76F3B">
        <w:t xml:space="preserve">temporary disability insurance and unemployment insurance.  </w:t>
      </w:r>
      <w:r w:rsidR="006D2265">
        <w:t xml:space="preserve">Using the income and participation assumptions identified above and </w:t>
      </w:r>
      <w:r w:rsidR="00E76F3B">
        <w:t xml:space="preserve">a 0.26 percent rate </w:t>
      </w:r>
      <w:r w:rsidR="006D2265">
        <w:t xml:space="preserve">for temporary disability insurance and </w:t>
      </w:r>
      <w:r w:rsidR="006D704E">
        <w:t xml:space="preserve">a 0.3825 percent rate for unemployment insurance results in an estimated shift of </w:t>
      </w:r>
      <w:r w:rsidR="00E76F3B">
        <w:t xml:space="preserve">$10.2 million </w:t>
      </w:r>
      <w:r w:rsidR="006D2265">
        <w:t>to</w:t>
      </w:r>
      <w:r w:rsidR="00E76F3B">
        <w:t xml:space="preserve"> $23.8 million in shifted temporary disability insurance</w:t>
      </w:r>
      <w:r w:rsidR="006D704E">
        <w:t xml:space="preserve"> revenues and</w:t>
      </w:r>
      <w:r w:rsidR="00CB55B2">
        <w:t xml:space="preserve"> $15</w:t>
      </w:r>
      <w:r w:rsidR="00C413C4">
        <w:t>.0</w:t>
      </w:r>
      <w:r w:rsidR="00CB55B2">
        <w:t xml:space="preserve"> million </w:t>
      </w:r>
      <w:r w:rsidR="006D704E">
        <w:t xml:space="preserve">to </w:t>
      </w:r>
      <w:r w:rsidR="00CB55B2">
        <w:t xml:space="preserve">$35.1 million in shifted unemployment insurance </w:t>
      </w:r>
      <w:r w:rsidR="006D704E">
        <w:t>revenues</w:t>
      </w:r>
      <w:r w:rsidR="00CB55B2">
        <w:t xml:space="preserve">.  </w:t>
      </w:r>
      <w:r w:rsidR="00C413C4">
        <w:t xml:space="preserve">The </w:t>
      </w:r>
      <w:r w:rsidR="00D2203C">
        <w:t xml:space="preserve">OLS applied a 0.0425 percent rate for workers’ compensation and a 0.16 percent rate for family leave insurance and applied the same income and participation assumptions identified above for an estimated shift of $1.7 million to $3.9 million in shifted workforce </w:t>
      </w:r>
      <w:r w:rsidR="00D2203C">
        <w:lastRenderedPageBreak/>
        <w:t>development revenues and $6.3 million to $14.7 million in shifted family leave revenue</w:t>
      </w:r>
      <w:r w:rsidR="00DF7FC5">
        <w:t>s</w:t>
      </w:r>
      <w:r w:rsidR="00D2203C">
        <w:t xml:space="preserve">.  </w:t>
      </w:r>
      <w:r w:rsidR="00C413C4">
        <w:t>In adding</w:t>
      </w:r>
      <w:r w:rsidR="00CB55B2">
        <w:t xml:space="preserve"> together the lower bound and upper bound estimates, </w:t>
      </w:r>
      <w:r w:rsidR="007C77FF">
        <w:t xml:space="preserve">the </w:t>
      </w:r>
      <w:r w:rsidR="00CB55B2">
        <w:t>OLS arrive</w:t>
      </w:r>
      <w:r w:rsidR="007C77FF">
        <w:t>d</w:t>
      </w:r>
      <w:r w:rsidR="00CB55B2">
        <w:t xml:space="preserve"> at a range of $</w:t>
      </w:r>
      <w:r w:rsidR="00D2203C">
        <w:t>76</w:t>
      </w:r>
      <w:r w:rsidR="00CB55B2">
        <w:t>.4 million on the lower bound in shifted costs and $</w:t>
      </w:r>
      <w:r w:rsidR="00D2203C">
        <w:t>178.3</w:t>
      </w:r>
      <w:r w:rsidR="00CB55B2">
        <w:t xml:space="preserve"> million on the upper bound in shifted costs. </w:t>
      </w:r>
    </w:p>
    <w:p w:rsidR="00EB6A68" w:rsidRDefault="00EB6A68" w:rsidP="002D7863">
      <w:pPr>
        <w:tabs>
          <w:tab w:val="left" w:pos="360"/>
          <w:tab w:val="left" w:pos="720"/>
          <w:tab w:val="left" w:pos="1440"/>
          <w:tab w:val="left" w:pos="2160"/>
          <w:tab w:val="left" w:pos="2880"/>
          <w:tab w:val="left" w:pos="3600"/>
          <w:tab w:val="left" w:pos="4320"/>
          <w:tab w:val="left" w:pos="5040"/>
        </w:tabs>
      </w:pPr>
      <w:r>
        <w:tab/>
      </w:r>
      <w:r w:rsidR="00C413C4">
        <w:t xml:space="preserve">The </w:t>
      </w:r>
      <w:r w:rsidR="00B7137B">
        <w:t xml:space="preserve">OLS does not have sufficient data </w:t>
      </w:r>
      <w:r w:rsidR="00D40265">
        <w:t>to provide an estimate for the sales and use tax, petroleum products gross receipts tax, or motor fuels tax, and therefore the overall cost estimate for the bill is indeterminate</w:t>
      </w:r>
      <w:r w:rsidR="00B7137B">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56228" w:rsidP="00BB4ED8">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E28FC" w:rsidP="00EF17BC">
            <w:pPr>
              <w:pStyle w:val="10pointItalics"/>
            </w:pPr>
            <w:bookmarkStart w:id="2" w:name="UserFullName"/>
            <w:bookmarkEnd w:id="2"/>
            <w:r>
              <w:t>Parag Shende</w:t>
            </w:r>
          </w:p>
          <w:p w:rsidR="00EF17BC" w:rsidRDefault="005E28FC" w:rsidP="005E28F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83F5E" w:rsidRDefault="00583F5E" w:rsidP="00EF17BC">
      <w:pPr>
        <w:spacing w:line="287" w:lineRule="atLeast"/>
      </w:pPr>
    </w:p>
    <w:p w:rsidR="00EF17BC" w:rsidRDefault="00E066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66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148" w:rsidRDefault="00344148">
      <w:r>
        <w:separator/>
      </w:r>
    </w:p>
  </w:endnote>
  <w:endnote w:type="continuationSeparator" w:id="0">
    <w:p w:rsidR="00344148" w:rsidRDefault="00344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F6624F">
          <w:pPr>
            <w:pStyle w:val="Footer"/>
          </w:pPr>
          <w:r>
            <w:rPr>
              <w:noProof/>
              <w:sz w:val="20"/>
              <w:szCs w:val="20"/>
            </w:rPr>
            <w:object w:dxaOrig="1440" w:dyaOrig="1440" w14:anchorId="16234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15715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148" w:rsidRDefault="00344148">
      <w:r>
        <w:separator/>
      </w:r>
    </w:p>
  </w:footnote>
  <w:footnote w:type="continuationSeparator" w:id="0">
    <w:p w:rsidR="00344148" w:rsidRDefault="00344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603" w:rsidRDefault="00E06603" w:rsidP="00E06603">
    <w:pPr>
      <w:pStyle w:val="Header"/>
      <w:jc w:val="center"/>
    </w:pPr>
    <w:r>
      <w:t xml:space="preserve">FE to </w:t>
    </w:r>
    <w:r w:rsidR="006C1845">
      <w:t>S2347</w:t>
    </w:r>
    <w:r>
      <w:t xml:space="preserve"> </w:t>
    </w:r>
  </w:p>
  <w:p w:rsidR="00E06603" w:rsidRDefault="00E06603" w:rsidP="00E06603">
    <w:pPr>
      <w:pStyle w:val="Header"/>
      <w:jc w:val="center"/>
    </w:pPr>
    <w:r>
      <w:fldChar w:fldCharType="begin"/>
    </w:r>
    <w:r>
      <w:instrText xml:space="preserve"> PAGE  \* MERGEFORMAT </w:instrText>
    </w:r>
    <w:r>
      <w:fldChar w:fldCharType="separate"/>
    </w:r>
    <w:r w:rsidR="00F6624F">
      <w:rPr>
        <w:noProof/>
      </w:rPr>
      <w:t>3</w:t>
    </w:r>
    <w:r>
      <w:fldChar w:fldCharType="end"/>
    </w:r>
  </w:p>
  <w:p w:rsidR="00E06603" w:rsidRDefault="00E06603" w:rsidP="00E066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3"/>
    <w:rsid w:val="00011EDD"/>
    <w:rsid w:val="00013973"/>
    <w:rsid w:val="000333DF"/>
    <w:rsid w:val="00036860"/>
    <w:rsid w:val="00042B0B"/>
    <w:rsid w:val="00042E76"/>
    <w:rsid w:val="000629F9"/>
    <w:rsid w:val="000701B0"/>
    <w:rsid w:val="00070F62"/>
    <w:rsid w:val="000820F8"/>
    <w:rsid w:val="0008691D"/>
    <w:rsid w:val="00095290"/>
    <w:rsid w:val="000A16EC"/>
    <w:rsid w:val="000B1CCB"/>
    <w:rsid w:val="000C074D"/>
    <w:rsid w:val="000C50EA"/>
    <w:rsid w:val="000C66F7"/>
    <w:rsid w:val="000E08DD"/>
    <w:rsid w:val="000E17DB"/>
    <w:rsid w:val="000E499A"/>
    <w:rsid w:val="000E6EEF"/>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61FB"/>
    <w:rsid w:val="00197240"/>
    <w:rsid w:val="001B1D4B"/>
    <w:rsid w:val="001B2BA9"/>
    <w:rsid w:val="001D0C90"/>
    <w:rsid w:val="001D3FD4"/>
    <w:rsid w:val="001E7EE3"/>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65C1"/>
    <w:rsid w:val="00290E57"/>
    <w:rsid w:val="0029229D"/>
    <w:rsid w:val="002977FC"/>
    <w:rsid w:val="002A15C4"/>
    <w:rsid w:val="002A2F18"/>
    <w:rsid w:val="002A5C0C"/>
    <w:rsid w:val="002D4307"/>
    <w:rsid w:val="002D6DB8"/>
    <w:rsid w:val="002D7381"/>
    <w:rsid w:val="002D7863"/>
    <w:rsid w:val="002E3A30"/>
    <w:rsid w:val="002F5E01"/>
    <w:rsid w:val="00326E3B"/>
    <w:rsid w:val="00330A5F"/>
    <w:rsid w:val="003321A7"/>
    <w:rsid w:val="00335BC0"/>
    <w:rsid w:val="003364BD"/>
    <w:rsid w:val="003376CB"/>
    <w:rsid w:val="00344148"/>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1D53"/>
    <w:rsid w:val="00407C9E"/>
    <w:rsid w:val="0041022E"/>
    <w:rsid w:val="004149CC"/>
    <w:rsid w:val="00423FAB"/>
    <w:rsid w:val="0046578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2CD8"/>
    <w:rsid w:val="0051514A"/>
    <w:rsid w:val="00515AC5"/>
    <w:rsid w:val="00520DC2"/>
    <w:rsid w:val="005234DB"/>
    <w:rsid w:val="00536F40"/>
    <w:rsid w:val="005470F3"/>
    <w:rsid w:val="00570997"/>
    <w:rsid w:val="00573B00"/>
    <w:rsid w:val="00577AA8"/>
    <w:rsid w:val="00583F5E"/>
    <w:rsid w:val="005850CE"/>
    <w:rsid w:val="005A6D23"/>
    <w:rsid w:val="005C1947"/>
    <w:rsid w:val="005C1E9D"/>
    <w:rsid w:val="005C2210"/>
    <w:rsid w:val="005C4596"/>
    <w:rsid w:val="005E03E7"/>
    <w:rsid w:val="005E28FC"/>
    <w:rsid w:val="005E75AB"/>
    <w:rsid w:val="00601F73"/>
    <w:rsid w:val="00602D98"/>
    <w:rsid w:val="0061127F"/>
    <w:rsid w:val="00625D15"/>
    <w:rsid w:val="00625F56"/>
    <w:rsid w:val="00651611"/>
    <w:rsid w:val="00653AE2"/>
    <w:rsid w:val="00665C10"/>
    <w:rsid w:val="006671C7"/>
    <w:rsid w:val="006746B7"/>
    <w:rsid w:val="006766CA"/>
    <w:rsid w:val="006917CF"/>
    <w:rsid w:val="00692BD4"/>
    <w:rsid w:val="006B22F3"/>
    <w:rsid w:val="006B2FD5"/>
    <w:rsid w:val="006B5C2D"/>
    <w:rsid w:val="006B6C16"/>
    <w:rsid w:val="006C1845"/>
    <w:rsid w:val="006D2265"/>
    <w:rsid w:val="006D6F6C"/>
    <w:rsid w:val="006D704E"/>
    <w:rsid w:val="006F239A"/>
    <w:rsid w:val="006F505D"/>
    <w:rsid w:val="006F7203"/>
    <w:rsid w:val="0070452E"/>
    <w:rsid w:val="00722AEF"/>
    <w:rsid w:val="00737A6C"/>
    <w:rsid w:val="00743F01"/>
    <w:rsid w:val="00744AE4"/>
    <w:rsid w:val="00763D60"/>
    <w:rsid w:val="007833B1"/>
    <w:rsid w:val="00786D65"/>
    <w:rsid w:val="00787F51"/>
    <w:rsid w:val="007920AC"/>
    <w:rsid w:val="007A0F7E"/>
    <w:rsid w:val="007A42C5"/>
    <w:rsid w:val="007A65A1"/>
    <w:rsid w:val="007B1878"/>
    <w:rsid w:val="007B1FCF"/>
    <w:rsid w:val="007B3969"/>
    <w:rsid w:val="007C342C"/>
    <w:rsid w:val="007C398F"/>
    <w:rsid w:val="007C4620"/>
    <w:rsid w:val="007C77FF"/>
    <w:rsid w:val="007E337B"/>
    <w:rsid w:val="007E5EB3"/>
    <w:rsid w:val="00804E41"/>
    <w:rsid w:val="008106D4"/>
    <w:rsid w:val="00811BC0"/>
    <w:rsid w:val="008221E0"/>
    <w:rsid w:val="008231E8"/>
    <w:rsid w:val="008242DF"/>
    <w:rsid w:val="008266B7"/>
    <w:rsid w:val="00854B89"/>
    <w:rsid w:val="00855555"/>
    <w:rsid w:val="008753EA"/>
    <w:rsid w:val="00881EF3"/>
    <w:rsid w:val="00883E7C"/>
    <w:rsid w:val="00886261"/>
    <w:rsid w:val="00894971"/>
    <w:rsid w:val="008A1685"/>
    <w:rsid w:val="008A2C7D"/>
    <w:rsid w:val="008C0341"/>
    <w:rsid w:val="008C6A2E"/>
    <w:rsid w:val="008D5731"/>
    <w:rsid w:val="008E1349"/>
    <w:rsid w:val="008E4C8C"/>
    <w:rsid w:val="008E585D"/>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9D5"/>
    <w:rsid w:val="00A26FCF"/>
    <w:rsid w:val="00A31FA5"/>
    <w:rsid w:val="00A34F8C"/>
    <w:rsid w:val="00A359DA"/>
    <w:rsid w:val="00A37886"/>
    <w:rsid w:val="00A45661"/>
    <w:rsid w:val="00A557B5"/>
    <w:rsid w:val="00A63176"/>
    <w:rsid w:val="00A70D0C"/>
    <w:rsid w:val="00A9794C"/>
    <w:rsid w:val="00AA43C2"/>
    <w:rsid w:val="00AB0440"/>
    <w:rsid w:val="00AC3FC5"/>
    <w:rsid w:val="00AC424E"/>
    <w:rsid w:val="00AD340B"/>
    <w:rsid w:val="00AE3966"/>
    <w:rsid w:val="00AF11C6"/>
    <w:rsid w:val="00B002D1"/>
    <w:rsid w:val="00B057F1"/>
    <w:rsid w:val="00B143A9"/>
    <w:rsid w:val="00B14ADE"/>
    <w:rsid w:val="00B21DFA"/>
    <w:rsid w:val="00B3216F"/>
    <w:rsid w:val="00B43E12"/>
    <w:rsid w:val="00B443DB"/>
    <w:rsid w:val="00B4569E"/>
    <w:rsid w:val="00B45879"/>
    <w:rsid w:val="00B551EB"/>
    <w:rsid w:val="00B55F3D"/>
    <w:rsid w:val="00B7137B"/>
    <w:rsid w:val="00B84AC8"/>
    <w:rsid w:val="00B90F8C"/>
    <w:rsid w:val="00B91C0B"/>
    <w:rsid w:val="00B97E24"/>
    <w:rsid w:val="00BA0BE6"/>
    <w:rsid w:val="00BA2122"/>
    <w:rsid w:val="00BA2F3A"/>
    <w:rsid w:val="00BB4ED8"/>
    <w:rsid w:val="00BC4C43"/>
    <w:rsid w:val="00BF14AA"/>
    <w:rsid w:val="00BF47F9"/>
    <w:rsid w:val="00C07688"/>
    <w:rsid w:val="00C15429"/>
    <w:rsid w:val="00C260AB"/>
    <w:rsid w:val="00C32933"/>
    <w:rsid w:val="00C3314D"/>
    <w:rsid w:val="00C413C4"/>
    <w:rsid w:val="00C75246"/>
    <w:rsid w:val="00C80B0B"/>
    <w:rsid w:val="00C861A7"/>
    <w:rsid w:val="00C91EDF"/>
    <w:rsid w:val="00C97447"/>
    <w:rsid w:val="00C97BB4"/>
    <w:rsid w:val="00CB55B2"/>
    <w:rsid w:val="00CC6622"/>
    <w:rsid w:val="00CD3E2C"/>
    <w:rsid w:val="00CE4604"/>
    <w:rsid w:val="00D20F5D"/>
    <w:rsid w:val="00D2203C"/>
    <w:rsid w:val="00D27101"/>
    <w:rsid w:val="00D376ED"/>
    <w:rsid w:val="00D40265"/>
    <w:rsid w:val="00D40E4F"/>
    <w:rsid w:val="00D638D0"/>
    <w:rsid w:val="00D67A0A"/>
    <w:rsid w:val="00D70518"/>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DF7FC5"/>
    <w:rsid w:val="00E008A4"/>
    <w:rsid w:val="00E042C5"/>
    <w:rsid w:val="00E06603"/>
    <w:rsid w:val="00E06D7C"/>
    <w:rsid w:val="00E21759"/>
    <w:rsid w:val="00E21963"/>
    <w:rsid w:val="00E22D9A"/>
    <w:rsid w:val="00E262A3"/>
    <w:rsid w:val="00E32D2F"/>
    <w:rsid w:val="00E51E95"/>
    <w:rsid w:val="00E5461B"/>
    <w:rsid w:val="00E57A41"/>
    <w:rsid w:val="00E635ED"/>
    <w:rsid w:val="00E708C9"/>
    <w:rsid w:val="00E74E35"/>
    <w:rsid w:val="00E75B93"/>
    <w:rsid w:val="00E76F3B"/>
    <w:rsid w:val="00E86D2A"/>
    <w:rsid w:val="00E9123C"/>
    <w:rsid w:val="00E95800"/>
    <w:rsid w:val="00EB1C90"/>
    <w:rsid w:val="00EB6A68"/>
    <w:rsid w:val="00EC1EF8"/>
    <w:rsid w:val="00EC2547"/>
    <w:rsid w:val="00EC4079"/>
    <w:rsid w:val="00EE7D05"/>
    <w:rsid w:val="00EF17BC"/>
    <w:rsid w:val="00EF3B9C"/>
    <w:rsid w:val="00F04CAD"/>
    <w:rsid w:val="00F11982"/>
    <w:rsid w:val="00F11CD9"/>
    <w:rsid w:val="00F2634D"/>
    <w:rsid w:val="00F332CE"/>
    <w:rsid w:val="00F35009"/>
    <w:rsid w:val="00F4083E"/>
    <w:rsid w:val="00F45BA7"/>
    <w:rsid w:val="00F51DD4"/>
    <w:rsid w:val="00F56228"/>
    <w:rsid w:val="00F64D56"/>
    <w:rsid w:val="00F6624F"/>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5D5DE3A-9B42-453D-8FF7-20C648BF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753EA"/>
    <w:rPr>
      <w:sz w:val="16"/>
      <w:szCs w:val="16"/>
    </w:rPr>
  </w:style>
  <w:style w:type="paragraph" w:styleId="CommentText">
    <w:name w:val="annotation text"/>
    <w:basedOn w:val="Normal"/>
    <w:link w:val="CommentTextChar"/>
    <w:semiHidden/>
    <w:unhideWhenUsed/>
    <w:rsid w:val="008753EA"/>
    <w:pPr>
      <w:spacing w:line="240" w:lineRule="auto"/>
    </w:pPr>
    <w:rPr>
      <w:sz w:val="20"/>
      <w:szCs w:val="20"/>
    </w:rPr>
  </w:style>
  <w:style w:type="character" w:customStyle="1" w:styleId="CommentTextChar">
    <w:name w:val="Comment Text Char"/>
    <w:basedOn w:val="DefaultParagraphFont"/>
    <w:link w:val="CommentText"/>
    <w:semiHidden/>
    <w:rsid w:val="008753EA"/>
  </w:style>
  <w:style w:type="paragraph" w:styleId="CommentSubject">
    <w:name w:val="annotation subject"/>
    <w:basedOn w:val="CommentText"/>
    <w:next w:val="CommentText"/>
    <w:link w:val="CommentSubjectChar"/>
    <w:semiHidden/>
    <w:unhideWhenUsed/>
    <w:rsid w:val="008753EA"/>
    <w:rPr>
      <w:b/>
      <w:bCs/>
    </w:rPr>
  </w:style>
  <w:style w:type="character" w:customStyle="1" w:styleId="CommentSubjectChar">
    <w:name w:val="Comment Subject Char"/>
    <w:basedOn w:val="CommentTextChar"/>
    <w:link w:val="CommentSubject"/>
    <w:semiHidden/>
    <w:rsid w:val="008753EA"/>
    <w:rPr>
      <w:b/>
      <w:bCs/>
    </w:rPr>
  </w:style>
  <w:style w:type="paragraph" w:styleId="BalloonText">
    <w:name w:val="Balloon Text"/>
    <w:basedOn w:val="Normal"/>
    <w:link w:val="BalloonTextChar"/>
    <w:semiHidden/>
    <w:unhideWhenUsed/>
    <w:rsid w:val="008753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53EA"/>
    <w:rPr>
      <w:rFonts w:ascii="Segoe UI" w:hAnsi="Segoe UI" w:cs="Segoe UI"/>
      <w:sz w:val="18"/>
      <w:szCs w:val="18"/>
    </w:rPr>
  </w:style>
  <w:style w:type="paragraph" w:styleId="ListParagraph">
    <w:name w:val="List Paragraph"/>
    <w:basedOn w:val="Normal"/>
    <w:uiPriority w:val="34"/>
    <w:qFormat/>
    <w:rsid w:val="00583F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1043</Words>
  <Characters>5453</Characters>
  <Application>Microsoft Office Word</Application>
  <DocSecurity>0</DocSecurity>
  <Lines>121</Lines>
  <Paragraphs>39</Paragraphs>
  <ScaleCrop>false</ScaleCrop>
  <HeadingPairs>
    <vt:vector size="2" baseType="variant">
      <vt:variant>
        <vt:lpstr>Title</vt:lpstr>
      </vt:variant>
      <vt:variant>
        <vt:i4>1</vt:i4>
      </vt:variant>
    </vt:vector>
  </HeadingPairs>
  <TitlesOfParts>
    <vt:vector size="1" baseType="lpstr">
      <vt:lpstr>S2347  FISCAL ESTIMATE</vt:lpstr>
    </vt:vector>
  </TitlesOfParts>
  <Manager>Parag Shende: R56</Manager>
  <Company>Office of Legislative Services</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S2347  FISCAL ESTIMATE</dc:title>
  <dc:creator>Senators SWEENEY and GREENSTEIN</dc:creator>
  <cp:keywords>S2347|3|RF |313|265|265|!||</cp:keywords>
  <dc:description>Sent to Sponsor 5/8/20 BPU 5/15/20</dc:description>
  <cp:lastModifiedBy>Todaro, Vivian</cp:lastModifiedBy>
  <cp:revision>2</cp:revision>
  <cp:lastPrinted>2020-05-21T16:17:00Z</cp:lastPrinted>
  <dcterms:created xsi:type="dcterms:W3CDTF">2020-05-21T17:05:00Z</dcterms:created>
  <dcterms:modified xsi:type="dcterms:W3CDTF">2020-05-21T17:05:00Z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