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29D" w:rsidRDefault="00E1317C" w:rsidP="00A7629D">
      <w:pPr>
        <w:pStyle w:val="bpuReprint"/>
      </w:pPr>
      <w:bookmarkStart w:id="0" w:name="_GoBack"/>
      <w:bookmarkEnd w:id="0"/>
      <w:r>
        <w:t>[Second Reprint]</w:t>
      </w:r>
    </w:p>
    <w:p w:rsidR="00F43BA5" w:rsidRDefault="00F43BA5" w:rsidP="00F43BA5">
      <w:pPr>
        <w:pStyle w:val="bpuBill"/>
      </w:pPr>
      <w:r>
        <w:t xml:space="preserve">SENATE, No. 2384 </w:t>
      </w:r>
    </w:p>
    <w:p w:rsidR="00F43BA5" w:rsidRPr="009D38FF" w:rsidRDefault="00F43BA5" w:rsidP="00F43B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0356" r:id="rId7"/>
        </w:object>
      </w:r>
    </w:p>
    <w:p w:rsidR="00F43BA5" w:rsidRDefault="00F43BA5" w:rsidP="00F43BA5">
      <w:pPr>
        <w:pStyle w:val="bpuState"/>
      </w:pPr>
      <w:r>
        <w:t>STATE OF NEW JERSEY</w:t>
      </w:r>
    </w:p>
    <w:p w:rsidR="00F43BA5" w:rsidRDefault="00F43BA5" w:rsidP="00F43BA5">
      <w:pPr>
        <w:pStyle w:val="bpuLegislature"/>
      </w:pPr>
      <w:r>
        <w:t>219th LEGISLATURE</w:t>
      </w:r>
    </w:p>
    <w:p w:rsidR="00F43BA5" w:rsidRDefault="00F43BA5" w:rsidP="00F43BA5">
      <w:pPr>
        <w:pStyle w:val="bpuWpGraphic"/>
      </w:pPr>
      <w:r>
        <w:object w:dxaOrig="8985" w:dyaOrig="255">
          <v:shape id="_x0000_i1026" type="#_x0000_t75" style="width:6in;height:12pt" o:ole="">
            <v:imagedata r:id="rId6" o:title=""/>
          </v:shape>
          <o:OLEObject Type="Embed" ProgID="WPWin6.1" ShapeID="_x0000_i1026" DrawAspect="Content" ObjectID="_1669800357" r:id="rId8"/>
        </w:object>
      </w:r>
      <w:r>
        <w:t xml:space="preserve">  </w:t>
      </w:r>
    </w:p>
    <w:p w:rsidR="00F43BA5" w:rsidRDefault="00F43BA5" w:rsidP="00F43BA5">
      <w:pPr>
        <w:pStyle w:val="bpuIntro"/>
      </w:pPr>
      <w:r>
        <w:t>INTRODUCED MAY 4, 2020</w:t>
      </w:r>
    </w:p>
    <w:p w:rsidR="00F43BA5" w:rsidRDefault="00F43BA5" w:rsidP="00F43BA5">
      <w:pPr>
        <w:pStyle w:val="bpuIntro"/>
      </w:pPr>
    </w:p>
    <w:p w:rsidR="00F43BA5" w:rsidRDefault="00F43BA5" w:rsidP="00F43BA5">
      <w:pPr>
        <w:pStyle w:val="bpuIntro"/>
        <w:sectPr w:rsidR="00F43BA5" w:rsidSect="00A65C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3BA5" w:rsidRDefault="00F43BA5" w:rsidP="00F43BA5">
      <w:pPr>
        <w:pStyle w:val="bpuIntro"/>
      </w:pPr>
    </w:p>
    <w:p w:rsidR="00F43BA5" w:rsidRDefault="00F43BA5" w:rsidP="00F43BA5">
      <w:pPr>
        <w:pStyle w:val="bpuSponsor"/>
      </w:pPr>
      <w:r>
        <w:t>Sponsored by:</w:t>
      </w:r>
    </w:p>
    <w:p w:rsidR="00F43BA5" w:rsidRDefault="00F43BA5" w:rsidP="00F43BA5">
      <w:pPr>
        <w:pStyle w:val="bpuSponsor"/>
      </w:pPr>
      <w:r>
        <w:t>Senator  LINDA R. GREENSTEIN</w:t>
      </w:r>
    </w:p>
    <w:p w:rsidR="00F43BA5" w:rsidRDefault="00F43BA5" w:rsidP="00F43BA5">
      <w:pPr>
        <w:pStyle w:val="bpuSponsor"/>
      </w:pPr>
      <w:r>
        <w:t>District 14 (Mercer and Middlesex)</w:t>
      </w:r>
    </w:p>
    <w:p w:rsidR="00F43BA5" w:rsidRDefault="00FA54C8" w:rsidP="00FA54C8">
      <w:pPr>
        <w:pStyle w:val="bpuSponsor"/>
      </w:pPr>
      <w:r>
        <w:t>Senator  NIA H. GILL</w:t>
      </w:r>
    </w:p>
    <w:p w:rsidR="00FA54C8" w:rsidRDefault="00FA54C8" w:rsidP="00FA54C8">
      <w:pPr>
        <w:pStyle w:val="bpuSponsor"/>
      </w:pPr>
      <w:r>
        <w:t>District 34 (Essex and Passaic)</w:t>
      </w:r>
    </w:p>
    <w:p w:rsidR="00FA54C8" w:rsidRDefault="00A65C82" w:rsidP="00A65C82">
      <w:pPr>
        <w:pStyle w:val="bpuSponsor"/>
      </w:pPr>
      <w:r>
        <w:t>Assemblyman  WILLIAM W. SPEARMAN</w:t>
      </w:r>
    </w:p>
    <w:p w:rsidR="00A65C82" w:rsidRDefault="00A65C82" w:rsidP="00A65C82">
      <w:pPr>
        <w:pStyle w:val="bpuSponsor"/>
      </w:pPr>
      <w:r>
        <w:t>District 5 (Camden and Gloucester)</w:t>
      </w:r>
    </w:p>
    <w:p w:rsidR="00A65C82" w:rsidRDefault="00A65C82" w:rsidP="00A65C82">
      <w:pPr>
        <w:pStyle w:val="bpuSponsor"/>
      </w:pPr>
      <w:r>
        <w:t>Assemblywoman  VALERIE VAINIERI HUTTLE</w:t>
      </w:r>
    </w:p>
    <w:p w:rsidR="00A65C82" w:rsidRDefault="00A65C82" w:rsidP="00A65C82">
      <w:pPr>
        <w:pStyle w:val="bpuSponsor"/>
      </w:pPr>
      <w:r>
        <w:t>District 37 (Bergen)</w:t>
      </w:r>
    </w:p>
    <w:p w:rsidR="00A65C82" w:rsidRDefault="00A65C82" w:rsidP="00A65C82">
      <w:pPr>
        <w:pStyle w:val="bpuSponsor"/>
      </w:pPr>
      <w:r>
        <w:t>Assemblyman  RAJ MUKHERJI</w:t>
      </w:r>
    </w:p>
    <w:p w:rsidR="00A65C82" w:rsidRDefault="00A65C82" w:rsidP="00A65C82">
      <w:pPr>
        <w:pStyle w:val="bpuSponsor"/>
      </w:pPr>
      <w:r>
        <w:t>District 33 (Hudson)</w:t>
      </w:r>
    </w:p>
    <w:p w:rsidR="00A65C82" w:rsidRPr="00A65C82" w:rsidRDefault="00A65C82" w:rsidP="00A65C82"/>
    <w:p w:rsidR="00BD2E64" w:rsidRDefault="00A65C82" w:rsidP="00A65C82">
      <w:pPr>
        <w:pStyle w:val="bpuSponsor"/>
      </w:pPr>
      <w:r>
        <w:t>Co-Sponsored by:</w:t>
      </w:r>
    </w:p>
    <w:p w:rsidR="00A65C82" w:rsidRPr="00A65C82" w:rsidRDefault="00A65C82" w:rsidP="00A65C82">
      <w:pPr>
        <w:pStyle w:val="bpuSponsor"/>
      </w:pPr>
      <w:r w:rsidRPr="00A65C82">
        <w:t xml:space="preserve">Senators </w:t>
      </w:r>
      <w:proofErr w:type="spellStart"/>
      <w:r w:rsidRPr="00A65C82">
        <w:t>Addiego</w:t>
      </w:r>
      <w:proofErr w:type="spellEnd"/>
      <w:r w:rsidRPr="00A65C82">
        <w:t xml:space="preserve">, </w:t>
      </w:r>
      <w:proofErr w:type="spellStart"/>
      <w:r w:rsidRPr="00A65C82">
        <w:t>O'Scanlon</w:t>
      </w:r>
      <w:proofErr w:type="spellEnd"/>
      <w:r w:rsidRPr="00A65C82">
        <w:t xml:space="preserve">, </w:t>
      </w:r>
      <w:proofErr w:type="spellStart"/>
      <w:r w:rsidRPr="00A65C82">
        <w:t>Diegnan</w:t>
      </w:r>
      <w:proofErr w:type="spellEnd"/>
      <w:r w:rsidRPr="00A65C82">
        <w:t xml:space="preserve">, Assemblywoman Tucker, Assemblyman </w:t>
      </w:r>
      <w:proofErr w:type="spellStart"/>
      <w:r w:rsidRPr="00A65C82">
        <w:t>Giblin</w:t>
      </w:r>
      <w:proofErr w:type="spellEnd"/>
      <w:r w:rsidRPr="00A65C82">
        <w:t xml:space="preserve">, Assemblywoman Downey, Assemblymen Benson, </w:t>
      </w:r>
      <w:proofErr w:type="spellStart"/>
      <w:r w:rsidRPr="00A65C82">
        <w:t>Danielsen</w:t>
      </w:r>
      <w:proofErr w:type="spellEnd"/>
      <w:r w:rsidRPr="00A65C82">
        <w:t xml:space="preserve"> and </w:t>
      </w:r>
      <w:proofErr w:type="spellStart"/>
      <w:r w:rsidRPr="00A65C82">
        <w:t>Houghtaling</w:t>
      </w:r>
      <w:proofErr w:type="spellEnd"/>
    </w:p>
    <w:p w:rsidR="001A42BC" w:rsidRDefault="001A42BC" w:rsidP="005B1359"/>
    <w:p w:rsidR="00A65C82" w:rsidRDefault="00A65C82" w:rsidP="005B1359"/>
    <w:p w:rsidR="00F43BA5" w:rsidRDefault="00F43BA5" w:rsidP="00F43BA5">
      <w:pPr>
        <w:pStyle w:val="bpuSponsor"/>
      </w:pPr>
    </w:p>
    <w:p w:rsidR="00F43BA5" w:rsidRDefault="00F43BA5" w:rsidP="00F43BA5">
      <w:pPr>
        <w:pStyle w:val="bpuSponsor"/>
      </w:pPr>
    </w:p>
    <w:p w:rsidR="00F43BA5" w:rsidRDefault="00F43BA5" w:rsidP="00F43BA5">
      <w:pPr>
        <w:pStyle w:val="bpuSponsor"/>
      </w:pPr>
      <w:r>
        <w:t>SYNOPSIS</w:t>
      </w:r>
    </w:p>
    <w:p w:rsidR="00F43BA5" w:rsidRDefault="00F43BA5" w:rsidP="00F43BA5">
      <w:pPr>
        <w:pStyle w:val="bpuNormText"/>
      </w:pPr>
      <w:r>
        <w:tab/>
        <w:t xml:space="preserve">Requires health care facilities to report certain coronavirus disease 2019 (COVID-19) data related to health care workers and certain first responders. </w:t>
      </w:r>
    </w:p>
    <w:p w:rsidR="00F43BA5" w:rsidRDefault="00F43BA5" w:rsidP="00F43BA5">
      <w:pPr>
        <w:pStyle w:val="bpuNormText"/>
      </w:pPr>
    </w:p>
    <w:p w:rsidR="00F43BA5" w:rsidRDefault="00F43BA5" w:rsidP="00F43BA5">
      <w:pPr>
        <w:pStyle w:val="bpuSponsor"/>
      </w:pPr>
      <w:r>
        <w:t xml:space="preserve">CURRENT VERSION OF TEXT </w:t>
      </w:r>
    </w:p>
    <w:p w:rsidR="00F43BA5" w:rsidRDefault="00E1317C" w:rsidP="00F43BA5">
      <w:pPr>
        <w:pStyle w:val="bpuNormText"/>
      </w:pPr>
      <w:r>
        <w:tab/>
        <w:t>As reported by the Assembly Appropriations Committee on December 15, 2020, with amendments.</w:t>
      </w:r>
    </w:p>
    <w:p w:rsidR="00F43BA5" w:rsidRDefault="00F43BA5" w:rsidP="00F43B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3BA5" w:rsidRDefault="00F43BA5" w:rsidP="008916EC">
      <w:pPr>
        <w:pStyle w:val="FronterPage"/>
        <w:tabs>
          <w:tab w:val="clear" w:pos="720"/>
          <w:tab w:val="clear" w:pos="1440"/>
          <w:tab w:val="clear" w:pos="2160"/>
          <w:tab w:val="clear" w:pos="2880"/>
          <w:tab w:val="clear" w:pos="3600"/>
          <w:tab w:val="clear" w:pos="4320"/>
          <w:tab w:val="clear" w:pos="5040"/>
        </w:tabs>
        <w:sectPr w:rsidR="00F43BA5" w:rsidSect="00F43BA5">
          <w:type w:val="continuous"/>
          <w:pgSz w:w="12240" w:h="20160" w:code="5"/>
          <w:pgMar w:top="1440" w:right="2275" w:bottom="1440" w:left="2275" w:header="72" w:footer="720" w:gutter="0"/>
          <w:pgNumType w:start="1"/>
          <w:cols w:space="720"/>
          <w:docGrid w:linePitch="360"/>
        </w:sectPr>
      </w:pPr>
    </w:p>
    <w:p w:rsidR="00686AEB" w:rsidRPr="00677316" w:rsidRDefault="0095213F" w:rsidP="003E47BA">
      <w:pPr>
        <w:pStyle w:val="HangingAnAct"/>
        <w:rPr>
          <w:rStyle w:val="HangingAnActChar"/>
        </w:rPr>
      </w:pPr>
      <w:r>
        <w:rPr>
          <w:rStyle w:val="BillHead"/>
        </w:rPr>
        <w:lastRenderedPageBreak/>
        <w:t>An Act</w:t>
      </w:r>
      <w:r w:rsidR="00686AEB" w:rsidRPr="006B7FA7">
        <w:rPr>
          <w:rStyle w:val="HangingAnActChar"/>
        </w:rPr>
        <w:t xml:space="preserve"> </w:t>
      </w:r>
      <w:r w:rsidR="00CE6228">
        <w:t>concerning data reporting related to the coronavirus disease 2019 pandemic.</w:t>
      </w:r>
    </w:p>
    <w:p w:rsidR="000B1054" w:rsidRPr="00D71D68" w:rsidRDefault="000B1054" w:rsidP="000B1054"/>
    <w:p w:rsidR="00686AEB" w:rsidRPr="00AA7880" w:rsidRDefault="00686AEB" w:rsidP="00686AEB">
      <w:r>
        <w:tab/>
      </w:r>
      <w:r w:rsidR="0095213F">
        <w:rPr>
          <w:rStyle w:val="BillHeading2"/>
        </w:rPr>
        <w:t>Be It Enacted</w:t>
      </w:r>
      <w:r>
        <w:rPr>
          <w:rStyle w:val="BillHeading2"/>
        </w:rPr>
        <w:t xml:space="preserve"> </w:t>
      </w:r>
      <w:r w:rsidR="0095213F">
        <w:rPr>
          <w:rStyle w:val="BillLanguage"/>
        </w:rPr>
        <w:t>by the Senate and General Assembly of the State of New Jersey:</w:t>
      </w:r>
    </w:p>
    <w:p w:rsidR="00686AEB" w:rsidRDefault="00686AEB" w:rsidP="00686AEB"/>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color w:val="000000"/>
          <w:spacing w:val="0"/>
          <w:vertAlign w:val="superscript"/>
        </w:rPr>
      </w:pPr>
      <w:r w:rsidRPr="00E1317C">
        <w:rPr>
          <w:color w:val="000000"/>
          <w:spacing w:val="0"/>
        </w:rPr>
        <w:tab/>
        <w:t>1.</w:t>
      </w:r>
      <w:r w:rsidRPr="00E1317C">
        <w:rPr>
          <w:color w:val="000000"/>
          <w:spacing w:val="0"/>
        </w:rPr>
        <w:tab/>
        <w:t xml:space="preserve">a.  (1)  The Commissioner of Health shall require general acute care hospitals, special hospitals, ambulatory care facilities, ambulatory surgical centers, </w:t>
      </w:r>
      <w:r w:rsidRPr="00E1317C">
        <w:rPr>
          <w:rFonts w:ascii="Albertus Extra Bold" w:hAnsi="Albertus Extra Bold"/>
          <w:b/>
          <w:color w:val="000000"/>
          <w:spacing w:val="0"/>
          <w:vertAlign w:val="superscript"/>
        </w:rPr>
        <w:t>1</w:t>
      </w:r>
      <w:r w:rsidRPr="00E1317C">
        <w:rPr>
          <w:color w:val="000000"/>
          <w:spacing w:val="0"/>
          <w:u w:val="single"/>
        </w:rPr>
        <w:t>assisted living facilities, home health agencies,</w:t>
      </w:r>
      <w:r w:rsidRPr="00E1317C">
        <w:rPr>
          <w:rFonts w:ascii="Albertus Extra Bold" w:hAnsi="Albertus Extra Bold"/>
          <w:b/>
          <w:color w:val="000000"/>
          <w:spacing w:val="0"/>
          <w:vertAlign w:val="superscript"/>
        </w:rPr>
        <w:t>1</w:t>
      </w:r>
      <w:r w:rsidRPr="00E1317C">
        <w:rPr>
          <w:color w:val="000000"/>
          <w:spacing w:val="0"/>
        </w:rPr>
        <w:t xml:space="preserve"> and nursing homes licensed pursuant to P.L.1971, c.136 (C.26:2H-1 et seq.) </w:t>
      </w:r>
      <w:r w:rsidRPr="00E1317C">
        <w:rPr>
          <w:rFonts w:ascii="Albertus Extra Bold" w:hAnsi="Albertus Extra Bold"/>
          <w:b/>
          <w:color w:val="000000"/>
          <w:spacing w:val="0"/>
          <w:vertAlign w:val="superscript"/>
        </w:rPr>
        <w:t>1</w:t>
      </w:r>
      <w:r w:rsidRPr="00E1317C">
        <w:rPr>
          <w:color w:val="000000"/>
          <w:spacing w:val="0"/>
          <w:u w:val="single"/>
        </w:rPr>
        <w:t>, as well as hospice programs licensed pursuant to P.L.1997, c.78 (C.26:2H-79 et seq.),</w:t>
      </w:r>
      <w:r w:rsidRPr="00E1317C">
        <w:rPr>
          <w:rFonts w:ascii="Albertus Extra Bold" w:hAnsi="Albertus Extra Bold"/>
          <w:b/>
          <w:color w:val="000000"/>
          <w:spacing w:val="0"/>
          <w:vertAlign w:val="superscript"/>
        </w:rPr>
        <w:t>1</w:t>
      </w:r>
      <w:r w:rsidRPr="00E1317C">
        <w:rPr>
          <w:color w:val="000000"/>
          <w:spacing w:val="0"/>
        </w:rPr>
        <w:t xml:space="preserve"> to report to the Department of Health </w:t>
      </w:r>
      <w:r w:rsidRPr="00E1317C">
        <w:rPr>
          <w:rFonts w:ascii="Albertus Extra Bold" w:hAnsi="Albertus Extra Bold"/>
          <w:b/>
          <w:color w:val="000000"/>
          <w:vertAlign w:val="superscript"/>
        </w:rPr>
        <w:t>2</w:t>
      </w:r>
      <w:r w:rsidRPr="00E1317C">
        <w:rPr>
          <w:spacing w:val="0"/>
          <w:u w:val="single"/>
        </w:rPr>
        <w:t>, either directly or through a non-profit trade association, on a bi-monthly basis, de-identified</w:t>
      </w:r>
      <w:r w:rsidRPr="00E1317C">
        <w:rPr>
          <w:rFonts w:ascii="Albertus Extra Bold" w:hAnsi="Albertus Extra Bold"/>
          <w:b/>
          <w:vertAlign w:val="superscript"/>
        </w:rPr>
        <w:t>2</w:t>
      </w:r>
      <w:r w:rsidRPr="00E1317C">
        <w:rPr>
          <w:color w:val="000000"/>
          <w:spacing w:val="0"/>
        </w:rPr>
        <w:t xml:space="preserve"> data on the number of health care professionals, ancillary health care workers, and emergency medical services personnel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rPr>
        <w:t>affiliated with</w:t>
      </w:r>
      <w:r w:rsidRPr="00E1317C">
        <w:rPr>
          <w:rFonts w:ascii="Albertus Extra Bold" w:hAnsi="Albertus Extra Bold"/>
          <w:b/>
        </w:rPr>
        <w:t>]</w:t>
      </w:r>
      <w:r w:rsidRPr="00E1317C">
        <w:rPr>
          <w:spacing w:val="0"/>
        </w:rPr>
        <w:t xml:space="preserve"> </w:t>
      </w:r>
      <w:r w:rsidRPr="00E1317C">
        <w:rPr>
          <w:spacing w:val="0"/>
          <w:u w:val="single"/>
        </w:rPr>
        <w:t>employed by</w:t>
      </w:r>
      <w:r w:rsidRPr="00E1317C">
        <w:rPr>
          <w:rFonts w:ascii="Albertus Extra Bold" w:hAnsi="Albertus Extra Bold"/>
          <w:b/>
          <w:vertAlign w:val="superscript"/>
        </w:rPr>
        <w:t>2</w:t>
      </w:r>
      <w:r w:rsidRPr="00E1317C">
        <w:rPr>
          <w:color w:val="000000"/>
          <w:spacing w:val="0"/>
        </w:rPr>
        <w:t xml:space="preserve"> the facility who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w:t>
      </w:r>
      <w:r w:rsidRPr="00E1317C">
        <w:rPr>
          <w:rFonts w:ascii="Albertus Extra Bold" w:hAnsi="Albertus Extra Bold"/>
          <w:b/>
          <w:spacing w:val="0"/>
        </w:rPr>
        <w:t>]</w:t>
      </w:r>
      <w:r w:rsidRPr="00E1317C">
        <w:rPr>
          <w:rFonts w:ascii="Albertus Extra Bold" w:hAnsi="Albertus Extra Bold"/>
          <w:b/>
          <w:spacing w:val="0"/>
          <w:vertAlign w:val="superscript"/>
        </w:rPr>
        <w:t>1</w:t>
      </w:r>
      <w:r w:rsidRPr="00E1317C">
        <w:rPr>
          <w:color w:val="000000"/>
          <w:spacing w:val="0"/>
        </w:rPr>
        <w:t xml:space="preserve"> tested positive for the coronavirus disease 2019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w:t>
      </w:r>
      <w:r w:rsidRPr="00E1317C">
        <w:rPr>
          <w:rFonts w:ascii="Albertus Extra Bold" w:hAnsi="Albertus Extra Bold"/>
          <w:b/>
          <w:spacing w:val="0"/>
        </w:rPr>
        <w:t>]</w:t>
      </w:r>
      <w:r w:rsidRPr="00E1317C">
        <w:rPr>
          <w:spacing w:val="0"/>
        </w:rPr>
        <w:t xml:space="preserve"> </w:t>
      </w:r>
      <w:r w:rsidRPr="00E1317C">
        <w:rPr>
          <w:spacing w:val="0"/>
          <w:u w:val="single"/>
        </w:rPr>
        <w:t>and who</w:t>
      </w:r>
      <w:r w:rsidRPr="00E1317C">
        <w:rPr>
          <w:rFonts w:ascii="Albertus Extra Bold" w:hAnsi="Albertus Extra Bold"/>
          <w:b/>
          <w:spacing w:val="0"/>
          <w:vertAlign w:val="superscript"/>
        </w:rPr>
        <w:t>1</w:t>
      </w:r>
      <w:r w:rsidRPr="00E1317C">
        <w:rPr>
          <w:color w:val="000000"/>
          <w:spacing w:val="0"/>
        </w:rPr>
        <w:t xml:space="preserve"> died from the coronavirus disease 2019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 and were admitted for treatment for the coronavirus disease 2019</w:t>
      </w:r>
      <w:r w:rsidRPr="00E1317C">
        <w:rPr>
          <w:rFonts w:ascii="Albertus Extra Bold" w:hAnsi="Albertus Extra Bold"/>
          <w:b/>
          <w:spacing w:val="0"/>
        </w:rPr>
        <w:t>]</w:t>
      </w:r>
      <w:r w:rsidRPr="00E1317C">
        <w:rPr>
          <w:rFonts w:ascii="Albertus Extra Bold" w:hAnsi="Albertus Extra Bold"/>
          <w:b/>
          <w:color w:val="000000"/>
          <w:spacing w:val="0"/>
          <w:vertAlign w:val="superscript"/>
        </w:rPr>
        <w:t xml:space="preserve">1 </w:t>
      </w:r>
      <w:r w:rsidRPr="00E1317C">
        <w:rPr>
          <w:color w:val="000000"/>
          <w:spacing w:val="0"/>
        </w:rPr>
        <w:t xml:space="preserve">.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u w:val="single"/>
        </w:rPr>
      </w:pPr>
      <w:r w:rsidRPr="00E1317C">
        <w:rPr>
          <w:color w:val="000000"/>
          <w:spacing w:val="0"/>
        </w:rPr>
        <w:tab/>
        <w:t>(2)</w:t>
      </w:r>
      <w:r w:rsidRPr="00E1317C">
        <w:rPr>
          <w:color w:val="000000"/>
          <w:spacing w:val="0"/>
        </w:rPr>
        <w:tab/>
      </w:r>
      <w:r w:rsidRPr="00E1317C">
        <w:rPr>
          <w:rFonts w:ascii="Albertus Extra Bold" w:hAnsi="Albertus Extra Bold"/>
          <w:b/>
          <w:color w:val="000000"/>
          <w:spacing w:val="0"/>
          <w:vertAlign w:val="superscript"/>
        </w:rPr>
        <w:t>1</w:t>
      </w:r>
      <w:r w:rsidRPr="00E1317C">
        <w:rPr>
          <w:color w:val="000000"/>
          <w:spacing w:val="0"/>
          <w:u w:val="single"/>
        </w:rPr>
        <w:t>The information required pursuant to this subsection shall be filed in a form and manner</w:t>
      </w:r>
      <w:r w:rsidRPr="00E1317C">
        <w:rPr>
          <w:color w:val="000000"/>
          <w:spacing w:val="0"/>
        </w:rPr>
        <w:t xml:space="preserve">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u w:val="single"/>
        </w:rPr>
        <w:t>, and at such frequencies,</w:t>
      </w:r>
      <w:r w:rsidRPr="00E1317C">
        <w:rPr>
          <w:rFonts w:ascii="Albertus Extra Bold" w:hAnsi="Albertus Extra Bold"/>
          <w:b/>
        </w:rPr>
        <w:t>]</w:t>
      </w:r>
      <w:r w:rsidRPr="00E1317C">
        <w:rPr>
          <w:rFonts w:ascii="Albertus Extra Bold" w:hAnsi="Albertus Extra Bold"/>
          <w:b/>
          <w:vertAlign w:val="superscript"/>
        </w:rPr>
        <w:t>2</w:t>
      </w:r>
      <w:r w:rsidRPr="00E1317C">
        <w:rPr>
          <w:spacing w:val="0"/>
        </w:rPr>
        <w:t xml:space="preserve"> </w:t>
      </w:r>
      <w:r w:rsidRPr="00E1317C">
        <w:rPr>
          <w:color w:val="000000"/>
          <w:spacing w:val="0"/>
          <w:u w:val="single"/>
        </w:rPr>
        <w:t xml:space="preserve">as shall be required by the department.  To ensure the integrity and accuracy of the information reported pursuant to this subsection, the department shall seek to identify and minimize duplicative reporting from multiple facilities concerning the same individual in the event that the individual is employed by, or affiliated with, more than one facility that is subject to the reporting requirements set forth in this section.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u w:val="single"/>
        </w:rPr>
        <w:t xml:space="preserve">(3)  The department shall issue guidance concerning the specific health care professionals, ancillary health care workers, and emergency medical services personnel for whom reporting shall be required pursuant to this subsection.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r>
      <w:r w:rsidRPr="00E1317C">
        <w:rPr>
          <w:color w:val="000000"/>
          <w:spacing w:val="0"/>
          <w:u w:val="single"/>
        </w:rPr>
        <w:t>(4)</w:t>
      </w:r>
      <w:r w:rsidRPr="00E1317C">
        <w:rPr>
          <w:color w:val="000000"/>
          <w:spacing w:val="0"/>
          <w:u w:val="single"/>
        </w:rPr>
        <w:tab/>
        <w:t>The department may require the reporting of any additional information as shall be appropriate to maximize the utility of the information reported pursuant to this subsection, including, but not limited to, requiring specific information be reported concerning the professional licensure or certification or specific job title or category of the individual who is the subject of the report.</w:t>
      </w:r>
    </w:p>
    <w:p w:rsidR="00E1317C" w:rsidRPr="00E1317C" w:rsidRDefault="00E1317C" w:rsidP="00E1317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spacing w:line="360" w:lineRule="atLeast"/>
        <w:rPr>
          <w:color w:val="000000"/>
          <w:spacing w:val="0"/>
        </w:rPr>
      </w:pPr>
      <w:r w:rsidRPr="00E1317C">
        <w:rPr>
          <w:color w:val="000000"/>
          <w:spacing w:val="0"/>
        </w:rPr>
        <w:tab/>
      </w:r>
      <w:r w:rsidRPr="00E1317C">
        <w:rPr>
          <w:color w:val="000000"/>
          <w:spacing w:val="0"/>
          <w:u w:val="single"/>
        </w:rPr>
        <w:t>(5)</w:t>
      </w:r>
      <w:r w:rsidRPr="00E1317C">
        <w:rPr>
          <w:rFonts w:ascii="Albertus Extra Bold" w:hAnsi="Albertus Extra Bold"/>
          <w:b/>
          <w:color w:val="000000"/>
          <w:spacing w:val="0"/>
          <w:vertAlign w:val="superscript"/>
        </w:rPr>
        <w:t>1</w:t>
      </w:r>
      <w:r w:rsidRPr="00E1317C">
        <w:rPr>
          <w:spacing w:val="0"/>
        </w:rPr>
        <w:tab/>
      </w:r>
      <w:r w:rsidRPr="00E1317C">
        <w:rPr>
          <w:color w:val="000000"/>
          <w:spacing w:val="0"/>
        </w:rPr>
        <w:t xml:space="preserve">The commissioner shall compile the data reported pursuant to this subsection </w:t>
      </w:r>
      <w:r w:rsidRPr="00E1317C">
        <w:rPr>
          <w:rFonts w:ascii="Albertus Extra Bold" w:hAnsi="Albertus Extra Bold"/>
          <w:b/>
          <w:color w:val="000000"/>
          <w:spacing w:val="0"/>
          <w:vertAlign w:val="superscript"/>
        </w:rPr>
        <w:t>1</w:t>
      </w:r>
      <w:r w:rsidRPr="00E1317C">
        <w:rPr>
          <w:color w:val="000000"/>
          <w:spacing w:val="0"/>
          <w:u w:val="single"/>
        </w:rPr>
        <w:t xml:space="preserve">in the manner the commissioner determines to be the most effective and utilitarian means of compiling and analyzing the data, which may, but shall not be required to, include compiling the </w:t>
      </w:r>
      <w:r w:rsidRPr="00E1317C">
        <w:rPr>
          <w:color w:val="000000"/>
          <w:spacing w:val="0"/>
          <w:u w:val="single"/>
        </w:rPr>
        <w:lastRenderedPageBreak/>
        <w:t>data</w:t>
      </w:r>
      <w:r w:rsidRPr="00E1317C">
        <w:rPr>
          <w:rFonts w:ascii="Albertus Extra Bold" w:hAnsi="Albertus Extra Bold"/>
          <w:b/>
          <w:color w:val="000000"/>
          <w:spacing w:val="0"/>
          <w:vertAlign w:val="superscript"/>
        </w:rPr>
        <w:t>1</w:t>
      </w:r>
      <w:r w:rsidRPr="00E1317C">
        <w:rPr>
          <w:color w:val="000000"/>
          <w:spacing w:val="0"/>
        </w:rPr>
        <w:t xml:space="preserve"> by facility type and by professional license or certification type, if any, or by job title or category.</w:t>
      </w:r>
      <w:r w:rsidRPr="00E1317C">
        <w:rPr>
          <w:rFonts w:ascii="Albertus Extra Bold" w:hAnsi="Albertus Extra Bold"/>
          <w:b/>
        </w:rPr>
        <w:t>]</w:t>
      </w:r>
      <w:r w:rsidRPr="00E1317C">
        <w:rPr>
          <w:rFonts w:ascii="Albertus Extra Bold" w:hAnsi="Albertus Extra Bold"/>
          <w:b/>
          <w:vertAlign w:val="superscript"/>
        </w:rPr>
        <w:t>2</w:t>
      </w:r>
      <w:r w:rsidRPr="00E1317C">
        <w:rPr>
          <w:color w:val="000000"/>
          <w:spacing w:val="0"/>
        </w:rPr>
        <w:t xml:space="preserve"> </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t>b.</w:t>
      </w:r>
      <w:r w:rsidRPr="00E1317C">
        <w:rPr>
          <w:color w:val="000000"/>
          <w:spacing w:val="0"/>
        </w:rPr>
        <w:tab/>
        <w:t xml:space="preserve">The department shall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rPr>
        <w:t>publish on its Internet website</w:t>
      </w:r>
      <w:r w:rsidRPr="00E1317C">
        <w:rPr>
          <w:rFonts w:ascii="Albertus Extra Bold" w:hAnsi="Albertus Extra Bold"/>
          <w:b/>
        </w:rPr>
        <w:t>]</w:t>
      </w:r>
      <w:r w:rsidRPr="00E1317C">
        <w:rPr>
          <w:spacing w:val="0"/>
        </w:rPr>
        <w:t xml:space="preserve"> </w:t>
      </w:r>
      <w:r w:rsidRPr="00E1317C">
        <w:rPr>
          <w:spacing w:val="0"/>
          <w:u w:val="single"/>
        </w:rPr>
        <w:t>issue a report concerning</w:t>
      </w:r>
      <w:r w:rsidRPr="00E1317C">
        <w:rPr>
          <w:rFonts w:ascii="Albertus Extra Bold" w:hAnsi="Albertus Extra Bold"/>
          <w:b/>
          <w:vertAlign w:val="superscript"/>
        </w:rPr>
        <w:t>2</w:t>
      </w:r>
      <w:r w:rsidRPr="00E1317C">
        <w:rPr>
          <w:color w:val="000000"/>
          <w:spacing w:val="0"/>
        </w:rPr>
        <w:t xml:space="preserve"> the occupational data received pursuant to subsection a. of this section </w:t>
      </w:r>
      <w:r w:rsidRPr="00E1317C">
        <w:rPr>
          <w:rFonts w:ascii="Albertus Extra Bold" w:hAnsi="Albertus Extra Bold"/>
          <w:b/>
          <w:color w:val="000000"/>
          <w:vertAlign w:val="superscript"/>
        </w:rPr>
        <w:t>2</w:t>
      </w:r>
      <w:r w:rsidRPr="00E1317C">
        <w:rPr>
          <w:rFonts w:ascii="Albertus Extra Bold" w:hAnsi="Albertus Extra Bold"/>
          <w:b/>
        </w:rPr>
        <w:t>[</w:t>
      </w:r>
      <w:r w:rsidRPr="00E1317C">
        <w:rPr>
          <w:color w:val="000000"/>
          <w:spacing w:val="0"/>
        </w:rPr>
        <w:t xml:space="preserve">.  The department shall update its Internet website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on a daily basis</w:t>
      </w:r>
      <w:r w:rsidRPr="00E1317C">
        <w:rPr>
          <w:rFonts w:ascii="Albertus Extra Bold" w:hAnsi="Albertus Extra Bold"/>
          <w:b/>
          <w:spacing w:val="0"/>
        </w:rPr>
        <w:t>]</w:t>
      </w:r>
      <w:r w:rsidRPr="00E1317C">
        <w:rPr>
          <w:rFonts w:ascii="Albertus Extra Bold" w:hAnsi="Albertus Extra Bold"/>
          <w:b/>
          <w:spacing w:val="0"/>
          <w:vertAlign w:val="superscript"/>
        </w:rPr>
        <w:t>1</w:t>
      </w:r>
      <w:r w:rsidRPr="00E1317C">
        <w:rPr>
          <w:color w:val="000000"/>
          <w:spacing w:val="0"/>
        </w:rPr>
        <w:t xml:space="preserve"> by publishing the latest data received by the department pursuant to subsection a. of this section </w:t>
      </w:r>
      <w:r w:rsidRPr="00E1317C">
        <w:rPr>
          <w:rFonts w:ascii="Albertus Extra Bold" w:hAnsi="Albertus Extra Bold"/>
          <w:b/>
          <w:color w:val="000000"/>
          <w:spacing w:val="0"/>
          <w:vertAlign w:val="superscript"/>
        </w:rPr>
        <w:t>1</w:t>
      </w:r>
      <w:r w:rsidRPr="00E1317C">
        <w:rPr>
          <w:color w:val="000000"/>
          <w:spacing w:val="0"/>
          <w:u w:val="single"/>
        </w:rPr>
        <w:t>as those data become available</w:t>
      </w:r>
      <w:r w:rsidRPr="00E1317C">
        <w:rPr>
          <w:rFonts w:ascii="Albertus Extra Bold" w:hAnsi="Albertus Extra Bold"/>
          <w:b/>
          <w:color w:val="000000"/>
          <w:spacing w:val="0"/>
          <w:vertAlign w:val="superscript"/>
        </w:rPr>
        <w:t>1</w:t>
      </w:r>
      <w:r w:rsidRPr="00E1317C">
        <w:rPr>
          <w:spacing w:val="0"/>
        </w:rPr>
        <w:t xml:space="preserve"> </w:t>
      </w:r>
      <w:r w:rsidRPr="00E1317C">
        <w:rPr>
          <w:color w:val="000000"/>
          <w:spacing w:val="0"/>
        </w:rPr>
        <w:t>.  To the extent possible, the data reported by the department pursuant to this subsection may be merged and cross-referenced with the data published by the department pursuant to subsection b. of section 1 of P.L.2020, c.28</w:t>
      </w:r>
      <w:r w:rsidRPr="00E1317C">
        <w:rPr>
          <w:rFonts w:ascii="Albertus Extra Bold" w:hAnsi="Albertus Extra Bold"/>
          <w:b/>
        </w:rPr>
        <w:t>]</w:t>
      </w:r>
      <w:r w:rsidRPr="00E1317C">
        <w:rPr>
          <w:spacing w:val="0"/>
        </w:rPr>
        <w:t xml:space="preserve"> </w:t>
      </w:r>
      <w:r w:rsidRPr="00E1317C">
        <w:rPr>
          <w:spacing w:val="0"/>
          <w:u w:val="single"/>
        </w:rPr>
        <w:t>no later than 12 months after the end of both the state of emergency and public health emergency declared in response to the coronavirus disease 2019 pandemic</w:t>
      </w:r>
      <w:r w:rsidRPr="00E1317C">
        <w:rPr>
          <w:rFonts w:ascii="Albertus Extra Bold" w:hAnsi="Albertus Extra Bold"/>
          <w:b/>
          <w:vertAlign w:val="superscript"/>
        </w:rPr>
        <w:t>2</w:t>
      </w:r>
      <w:r w:rsidRPr="00E1317C">
        <w:rPr>
          <w:spacing w:val="0"/>
        </w:rPr>
        <w:t xml:space="preserve"> </w:t>
      </w:r>
      <w:r w:rsidRPr="00E1317C">
        <w:rPr>
          <w:color w:val="000000"/>
          <w:spacing w:val="0"/>
        </w:rPr>
        <w:t>.</w:t>
      </w: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color w:val="000000"/>
          <w:vertAlign w:val="superscript"/>
        </w:rPr>
      </w:pPr>
      <w:r w:rsidRPr="00E1317C">
        <w:rPr>
          <w:color w:val="000000"/>
          <w:spacing w:val="0"/>
        </w:rPr>
        <w:tab/>
      </w:r>
      <w:r w:rsidRPr="00E1317C">
        <w:rPr>
          <w:rFonts w:ascii="Albertus Extra Bold" w:hAnsi="Albertus Extra Bold"/>
          <w:b/>
          <w:color w:val="000000"/>
          <w:spacing w:val="0"/>
          <w:vertAlign w:val="superscript"/>
        </w:rPr>
        <w:t>1</w:t>
      </w:r>
      <w:r w:rsidRPr="00E1317C">
        <w:rPr>
          <w:color w:val="000000"/>
          <w:spacing w:val="0"/>
          <w:u w:val="single"/>
        </w:rPr>
        <w:t>c.  Nothing in this section shall be construed to require disclosure of any private health information or personal identifying information in violation of any State or federal law, including the federal "Health Insurance Portability and Accountability Act of 1996," Pub.L.104-191 and any regulations promulgated thereunder by the Secretary of the U.S. Department of Health and Human Services.</w:t>
      </w:r>
      <w:r w:rsidRPr="00E1317C">
        <w:rPr>
          <w:rFonts w:ascii="Albertus Extra Bold" w:hAnsi="Albertus Extra Bold"/>
          <w:b/>
          <w:color w:val="000000"/>
          <w:spacing w:val="0"/>
          <w:vertAlign w:val="superscript"/>
        </w:rPr>
        <w:t>1</w:t>
      </w:r>
    </w:p>
    <w:p w:rsidR="00CE6228" w:rsidRDefault="00CE6228" w:rsidP="00CE6228">
      <w:pPr>
        <w:spacing w:line="360" w:lineRule="atLeast"/>
        <w:rPr>
          <w:color w:val="000000"/>
        </w:rPr>
      </w:pPr>
    </w:p>
    <w:p w:rsidR="00A7629D" w:rsidRDefault="00A7629D" w:rsidP="00E1317C">
      <w:pPr>
        <w:tabs>
          <w:tab w:val="clear" w:pos="1440"/>
          <w:tab w:val="left" w:pos="990"/>
        </w:tabs>
        <w:spacing w:line="360" w:lineRule="atLeast"/>
        <w:rPr>
          <w:color w:val="000000"/>
          <w:u w:val="single"/>
        </w:rPr>
      </w:pPr>
      <w:r>
        <w:rPr>
          <w:color w:val="000000"/>
        </w:rPr>
        <w:tab/>
      </w:r>
      <w:r w:rsidR="00E1317C">
        <w:rPr>
          <w:rFonts w:ascii="Albertus Extra Bold" w:hAnsi="Albertus Extra Bold"/>
          <w:b/>
          <w:color w:val="000000"/>
          <w:vertAlign w:val="superscript"/>
        </w:rPr>
        <w:t>2</w:t>
      </w:r>
      <w:r w:rsidR="00E1317C" w:rsidRPr="00E1317C">
        <w:rPr>
          <w:rFonts w:ascii="Albertus Extra Bold" w:hAnsi="Albertus Extra Bold"/>
          <w:b/>
        </w:rPr>
        <w:t>[</w:t>
      </w:r>
      <w:r>
        <w:rPr>
          <w:rFonts w:ascii="Albertus Extra Bold" w:hAnsi="Albertus Extra Bold"/>
          <w:b/>
          <w:color w:val="000000"/>
          <w:vertAlign w:val="superscript"/>
        </w:rPr>
        <w:t>1</w:t>
      </w:r>
      <w:r>
        <w:rPr>
          <w:color w:val="000000"/>
          <w:u w:val="single"/>
        </w:rPr>
        <w:t>2.</w:t>
      </w:r>
      <w:r>
        <w:rPr>
          <w:color w:val="000000"/>
          <w:u w:val="single"/>
        </w:rPr>
        <w:tab/>
        <w:t xml:space="preserve">a.  The Commissioner of Health shall require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and nursing homes licensed pursuant to P.L.1971, c.136 (C.26:2H-1 et seq.), as well as hospice programs licensed pursuant to P.L.1997, c.78 (C.26:2H-79 et seq.),</w:t>
      </w:r>
      <w:r>
        <w:rPr>
          <w:color w:val="000000"/>
          <w:u w:val="single"/>
        </w:rPr>
        <w:t xml:space="preserve"> to adopt standards, procedures, and protocols that incorporate current guidance issued by the Department of Health and by the federal Centers for Disease Control and Prevention to evaluate and mitigate the risk of exposure to, and spread of, coronavirus disease 2019 (COVID-19) in healthcare settings.  </w:t>
      </w:r>
    </w:p>
    <w:p w:rsidR="00A7629D" w:rsidRDefault="00A7629D" w:rsidP="00A7629D">
      <w:pPr>
        <w:spacing w:line="360" w:lineRule="atLeast"/>
        <w:rPr>
          <w:color w:val="000000"/>
          <w:u w:val="single"/>
        </w:rPr>
      </w:pPr>
      <w:r>
        <w:rPr>
          <w:color w:val="000000"/>
        </w:rPr>
        <w:tab/>
      </w:r>
      <w:r>
        <w:rPr>
          <w:color w:val="000000"/>
          <w:u w:val="single"/>
        </w:rPr>
        <w:t>b.</w:t>
      </w:r>
      <w:r>
        <w:rPr>
          <w:color w:val="000000"/>
          <w:u w:val="single"/>
        </w:rPr>
        <w:tab/>
        <w:t xml:space="preserve">No later than 60 days after the end of both the state of emergency and the public health emergency declared in response to the COVID-19 pandemic,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nursing homes</w:t>
      </w:r>
      <w:r>
        <w:rPr>
          <w:color w:val="000000"/>
          <w:u w:val="single"/>
        </w:rPr>
        <w:t xml:space="preserve">, and </w:t>
      </w:r>
      <w:r w:rsidRPr="007A43BB">
        <w:rPr>
          <w:color w:val="000000"/>
          <w:u w:val="single"/>
        </w:rPr>
        <w:t xml:space="preserve">hospice programs </w:t>
      </w:r>
      <w:r>
        <w:rPr>
          <w:color w:val="000000"/>
          <w:u w:val="single"/>
        </w:rPr>
        <w:t xml:space="preserve">shall complete an analysis of COVID-19 exposures identified throughout their workforces during each month in which the state of emergency and public health emergency in response to COVID-19 were in effect, along with the measures taken by the facility to respond to or mitigate the risk of exposure, and shall submit a report of that analysis to the Department of Health concerning recommended best practices and protocols to </w:t>
      </w:r>
      <w:r>
        <w:rPr>
          <w:color w:val="000000"/>
          <w:u w:val="single"/>
        </w:rPr>
        <w:lastRenderedPageBreak/>
        <w:t xml:space="preserve">mitigate the risk of exposure and spread of communicable disease among health care facility staff and personnel during a communicable disease outbreak, epidemic, or pandemic.  Reports submitted to the department pursuant to this subsection, and any supporting data submitted with or in relation to a report, shall be held as confidential and shall only be used by the department in the development of strategies, plans, protocols, and best practices to improve the State’s response in the event of future communicable disease outbreaks, as well as for the purposes of preparing the report required pursuant to subsection c. of this section.  To this end, reports and supporting data submitted pursuant to this subsection shall not be subject to public disclosure, </w:t>
      </w:r>
      <w:r w:rsidRPr="00C27CFB">
        <w:rPr>
          <w:color w:val="000000"/>
          <w:u w:val="single"/>
        </w:rPr>
        <w:t>shall not be considered a public record pursuant to P.L.1963, c.73 (C.47:1A-1</w:t>
      </w:r>
      <w:r>
        <w:rPr>
          <w:color w:val="000000"/>
          <w:u w:val="single"/>
        </w:rPr>
        <w:t> </w:t>
      </w:r>
      <w:r w:rsidRPr="00C27CFB">
        <w:rPr>
          <w:color w:val="000000"/>
          <w:u w:val="single"/>
        </w:rPr>
        <w:t>et</w:t>
      </w:r>
      <w:r>
        <w:rPr>
          <w:color w:val="000000"/>
          <w:u w:val="single"/>
        </w:rPr>
        <w:t> </w:t>
      </w:r>
      <w:r w:rsidRPr="00C27CFB">
        <w:rPr>
          <w:color w:val="000000"/>
          <w:u w:val="single"/>
        </w:rPr>
        <w:t>seq.)</w:t>
      </w:r>
      <w:r>
        <w:rPr>
          <w:color w:val="000000"/>
          <w:u w:val="single"/>
        </w:rPr>
        <w:t> </w:t>
      </w:r>
      <w:r w:rsidRPr="00C27CFB">
        <w:rPr>
          <w:color w:val="000000"/>
          <w:u w:val="single"/>
        </w:rPr>
        <w:t>or P.L.2001, c.404 (C.47:1A-5 et al.)</w:t>
      </w:r>
      <w:r>
        <w:rPr>
          <w:color w:val="000000"/>
          <w:u w:val="single"/>
        </w:rPr>
        <w:t>, and shall not be used in any adverse licensure action or administrative disciplinary action against the facility submitting the report or data.</w:t>
      </w:r>
    </w:p>
    <w:p w:rsidR="00A7629D" w:rsidRPr="00E1317C" w:rsidRDefault="00A7629D" w:rsidP="00A7629D">
      <w:pPr>
        <w:spacing w:line="360" w:lineRule="atLeast"/>
        <w:rPr>
          <w:rFonts w:ascii="Albertus Extra Bold" w:hAnsi="Albertus Extra Bold"/>
          <w:b/>
          <w:color w:val="000000"/>
          <w:vertAlign w:val="superscript"/>
        </w:rPr>
      </w:pPr>
      <w:r w:rsidRPr="00372AB7">
        <w:rPr>
          <w:color w:val="000000"/>
        </w:rPr>
        <w:tab/>
      </w:r>
      <w:r>
        <w:rPr>
          <w:color w:val="000000"/>
          <w:u w:val="single"/>
        </w:rPr>
        <w:t>c.</w:t>
      </w:r>
      <w:r>
        <w:rPr>
          <w:color w:val="000000"/>
          <w:u w:val="single"/>
        </w:rPr>
        <w:tab/>
        <w:t xml:space="preserve">No later than 120 days after the end of both the state of emergency and the public health emergency declared in response to the COVID-19 pandemic, the commissioner shall submit a report to the Governor and, pursuant to section 2 of P.L.1991, c.164 (C.52:14-19.1), to the Legislature, outlining the aggregated data and findings reported by </w:t>
      </w:r>
      <w:r w:rsidRPr="007A43BB">
        <w:rPr>
          <w:color w:val="000000"/>
          <w:u w:val="single"/>
        </w:rPr>
        <w:t>general acute care hospitals, special hospitals, ambulatory care facilities, ambulatory surgical centers, assisted living facilities, home health agencies</w:t>
      </w:r>
      <w:r>
        <w:rPr>
          <w:color w:val="000000"/>
          <w:u w:val="single"/>
        </w:rPr>
        <w:t>,</w:t>
      </w:r>
      <w:r w:rsidRPr="007A43BB">
        <w:rPr>
          <w:color w:val="000000"/>
          <w:u w:val="single"/>
        </w:rPr>
        <w:t xml:space="preserve"> nursing homes</w:t>
      </w:r>
      <w:r>
        <w:rPr>
          <w:color w:val="000000"/>
          <w:u w:val="single"/>
        </w:rPr>
        <w:t xml:space="preserve">, and </w:t>
      </w:r>
      <w:r w:rsidRPr="007A43BB">
        <w:rPr>
          <w:color w:val="000000"/>
          <w:u w:val="single"/>
        </w:rPr>
        <w:t xml:space="preserve">hospice programs </w:t>
      </w:r>
      <w:r>
        <w:rPr>
          <w:color w:val="000000"/>
          <w:u w:val="single"/>
        </w:rPr>
        <w:t>pursuant to subsection b. of this section and outlining the commissioner’s findings and recommendations for legislation or other action to mitigate the risk of exposure and spread of communicable disease among health care facility staff and personnel during a communicable disease outbreak, epidemic, or pandemic.</w:t>
      </w:r>
      <w:r>
        <w:rPr>
          <w:rFonts w:ascii="Albertus Extra Bold" w:hAnsi="Albertus Extra Bold"/>
          <w:b/>
          <w:color w:val="000000"/>
          <w:vertAlign w:val="superscript"/>
        </w:rPr>
        <w:t>1</w:t>
      </w:r>
      <w:r w:rsidR="00E1317C" w:rsidRPr="00E1317C">
        <w:rPr>
          <w:rFonts w:ascii="Albertus Extra Bold" w:hAnsi="Albertus Extra Bold"/>
          <w:b/>
        </w:rPr>
        <w:t>]</w:t>
      </w:r>
      <w:r w:rsidR="00E1317C">
        <w:rPr>
          <w:rFonts w:ascii="Albertus Extra Bold" w:hAnsi="Albertus Extra Bold"/>
          <w:b/>
          <w:vertAlign w:val="superscript"/>
        </w:rPr>
        <w:t>2</w:t>
      </w:r>
    </w:p>
    <w:p w:rsidR="00A7629D" w:rsidRDefault="00A7629D" w:rsidP="00A7629D">
      <w:pPr>
        <w:spacing w:line="360" w:lineRule="atLeast"/>
        <w:rPr>
          <w:color w:val="000000"/>
        </w:rPr>
      </w:pPr>
    </w:p>
    <w:p w:rsidR="00E1317C" w:rsidRPr="00E1317C" w:rsidRDefault="00E1317C" w:rsidP="00E131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spacing w:val="0"/>
        </w:rPr>
      </w:pPr>
      <w:r w:rsidRPr="00E1317C">
        <w:rPr>
          <w:color w:val="000000"/>
          <w:spacing w:val="0"/>
        </w:rPr>
        <w:tab/>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2.</w:t>
      </w:r>
      <w:r w:rsidRPr="00E1317C">
        <w:rPr>
          <w:rFonts w:ascii="Albertus Extra Bold" w:hAnsi="Albertus Extra Bold"/>
          <w:b/>
          <w:spacing w:val="0"/>
        </w:rPr>
        <w:t>]</w:t>
      </w:r>
      <w:r w:rsidRPr="00E1317C">
        <w:rPr>
          <w:spacing w:val="0"/>
        </w:rPr>
        <w:t xml:space="preserve"> </w:t>
      </w:r>
      <w:r w:rsidRPr="00E1317C">
        <w:rPr>
          <w:rFonts w:ascii="Albertus Extra Bold" w:hAnsi="Albertus Extra Bold"/>
          <w:b/>
          <w:vertAlign w:val="superscript"/>
        </w:rPr>
        <w:t>2</w:t>
      </w:r>
      <w:r w:rsidRPr="00E1317C">
        <w:rPr>
          <w:rFonts w:ascii="Albertus Extra Bold" w:hAnsi="Albertus Extra Bold"/>
          <w:b/>
        </w:rPr>
        <w:t>[</w:t>
      </w:r>
      <w:r w:rsidRPr="00E1317C">
        <w:rPr>
          <w:spacing w:val="0"/>
          <w:u w:val="single"/>
        </w:rPr>
        <w:t>3.</w:t>
      </w:r>
      <w:r w:rsidRPr="00E1317C">
        <w:rPr>
          <w:rFonts w:ascii="Albertus Extra Bold" w:hAnsi="Albertus Extra Bold"/>
          <w:b/>
          <w:spacing w:val="0"/>
          <w:vertAlign w:val="superscript"/>
        </w:rPr>
        <w:t>1</w:t>
      </w:r>
      <w:r w:rsidRPr="00E1317C">
        <w:rPr>
          <w:rFonts w:ascii="Albertus Extra Bold" w:hAnsi="Albertus Extra Bold"/>
          <w:b/>
        </w:rPr>
        <w:t>]</w:t>
      </w:r>
      <w:r w:rsidRPr="00E1317C">
        <w:rPr>
          <w:spacing w:val="0"/>
        </w:rPr>
        <w:t xml:space="preserve"> </w:t>
      </w:r>
      <w:r w:rsidRPr="00E1317C">
        <w:rPr>
          <w:spacing w:val="0"/>
          <w:u w:val="single"/>
        </w:rPr>
        <w:t>2.</w:t>
      </w:r>
      <w:r w:rsidRPr="00E1317C">
        <w:rPr>
          <w:rFonts w:ascii="Albertus Extra Bold" w:hAnsi="Albertus Extra Bold"/>
          <w:b/>
          <w:vertAlign w:val="superscript"/>
        </w:rPr>
        <w:t>2</w:t>
      </w:r>
      <w:r w:rsidRPr="00E1317C">
        <w:rPr>
          <w:spacing w:val="0"/>
        </w:rPr>
        <w:t xml:space="preserve">  </w:t>
      </w:r>
      <w:r w:rsidRPr="00E1317C">
        <w:rPr>
          <w:color w:val="000000"/>
          <w:spacing w:val="0"/>
        </w:rPr>
        <w:t xml:space="preserve">This act shall take effect immediately and shall expire one </w:t>
      </w:r>
      <w:r w:rsidRPr="00E1317C">
        <w:rPr>
          <w:rFonts w:ascii="Albertus Extra Bold" w:hAnsi="Albertus Extra Bold"/>
          <w:b/>
          <w:color w:val="000000"/>
          <w:spacing w:val="0"/>
          <w:vertAlign w:val="superscript"/>
        </w:rPr>
        <w:t>1</w:t>
      </w:r>
      <w:r w:rsidRPr="00E1317C">
        <w:rPr>
          <w:rFonts w:ascii="Albertus Extra Bold" w:hAnsi="Albertus Extra Bold"/>
          <w:b/>
          <w:color w:val="000000"/>
          <w:spacing w:val="0"/>
        </w:rPr>
        <w:t>[</w:t>
      </w:r>
      <w:r w:rsidRPr="00E1317C">
        <w:rPr>
          <w:color w:val="000000"/>
          <w:spacing w:val="0"/>
        </w:rPr>
        <w:t>month</w:t>
      </w:r>
      <w:r w:rsidRPr="00E1317C">
        <w:rPr>
          <w:rFonts w:ascii="Albertus Extra Bold" w:hAnsi="Albertus Extra Bold"/>
          <w:b/>
          <w:spacing w:val="0"/>
        </w:rPr>
        <w:t>]</w:t>
      </w:r>
      <w:r w:rsidRPr="00E1317C">
        <w:rPr>
          <w:spacing w:val="0"/>
        </w:rPr>
        <w:t xml:space="preserve"> </w:t>
      </w:r>
      <w:r w:rsidRPr="00E1317C">
        <w:rPr>
          <w:rFonts w:ascii="Albertus Extra Bold" w:hAnsi="Albertus Extra Bold"/>
          <w:b/>
          <w:vertAlign w:val="superscript"/>
        </w:rPr>
        <w:t>2</w:t>
      </w:r>
      <w:r w:rsidRPr="00E1317C">
        <w:rPr>
          <w:rFonts w:ascii="Albertus Extra Bold" w:hAnsi="Albertus Extra Bold"/>
          <w:b/>
        </w:rPr>
        <w:t>[</w:t>
      </w:r>
      <w:r w:rsidRPr="00E1317C">
        <w:rPr>
          <w:spacing w:val="0"/>
          <w:u w:val="single"/>
        </w:rPr>
        <w:t>year</w:t>
      </w:r>
      <w:r w:rsidRPr="00E1317C">
        <w:rPr>
          <w:rFonts w:ascii="Albertus Extra Bold" w:hAnsi="Albertus Extra Bold"/>
          <w:b/>
          <w:spacing w:val="0"/>
          <w:vertAlign w:val="superscript"/>
        </w:rPr>
        <w:t>1</w:t>
      </w:r>
      <w:r w:rsidRPr="00E1317C">
        <w:rPr>
          <w:color w:val="000000"/>
          <w:spacing w:val="0"/>
        </w:rPr>
        <w:t xml:space="preserve"> after the end of both the state of emergency and the public health emergency declared in response to the coronavirus disease 2019 pandemic</w:t>
      </w:r>
      <w:r w:rsidRPr="00E1317C">
        <w:rPr>
          <w:rFonts w:ascii="Albertus Extra Bold" w:hAnsi="Albertus Extra Bold"/>
          <w:b/>
        </w:rPr>
        <w:t>]</w:t>
      </w:r>
      <w:r w:rsidRPr="00E1317C">
        <w:rPr>
          <w:spacing w:val="0"/>
        </w:rPr>
        <w:t xml:space="preserve"> </w:t>
      </w:r>
      <w:r w:rsidRPr="00E1317C">
        <w:rPr>
          <w:spacing w:val="0"/>
          <w:u w:val="single"/>
        </w:rPr>
        <w:t>month after issuance of the report required pursuant to subsection b. of section 1 of this act</w:t>
      </w:r>
      <w:r w:rsidRPr="00E1317C">
        <w:rPr>
          <w:rFonts w:ascii="Albertus Extra Bold" w:hAnsi="Albertus Extra Bold"/>
          <w:b/>
          <w:vertAlign w:val="superscript"/>
        </w:rPr>
        <w:t>2</w:t>
      </w:r>
      <w:r w:rsidRPr="00E1317C">
        <w:rPr>
          <w:spacing w:val="0"/>
        </w:rPr>
        <w:t xml:space="preserve"> </w:t>
      </w:r>
      <w:r w:rsidRPr="00E1317C">
        <w:rPr>
          <w:color w:val="000000"/>
          <w:spacing w:val="0"/>
        </w:rPr>
        <w:t>.</w:t>
      </w:r>
    </w:p>
    <w:sectPr w:rsidR="00E1317C" w:rsidRPr="00E1317C" w:rsidSect="00F43B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16" w:rsidRDefault="00190316">
      <w:r>
        <w:separator/>
      </w:r>
    </w:p>
  </w:endnote>
  <w:endnote w:type="continuationSeparator" w:id="0">
    <w:p w:rsidR="00190316" w:rsidRDefault="0019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791" w:rsidRDefault="00A65C82" w:rsidP="00A65C8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29D" w:rsidRPr="00921C91" w:rsidRDefault="00A762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629D" w:rsidRPr="00921C91" w:rsidRDefault="00A7629D">
    <w:pPr>
      <w:pStyle w:val="Footer"/>
      <w:rPr>
        <w:szCs w:val="18"/>
      </w:rPr>
    </w:pPr>
  </w:p>
  <w:p w:rsidR="00A7629D" w:rsidRPr="00921C91" w:rsidRDefault="00A762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629D" w:rsidRDefault="00A7629D" w:rsidP="00686AEB">
    <w:pPr>
      <w:pStyle w:val="Footer"/>
    </w:pPr>
    <w:r>
      <w:tab/>
      <w:t>Matter enclosed in superscript numerals has been adopted as follows:</w:t>
    </w:r>
  </w:p>
  <w:p w:rsidR="00A7629D" w:rsidRDefault="00A762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rsidR="00A7629D" w:rsidRDefault="00E1317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15, 2020.</w:t>
    </w:r>
  </w:p>
  <w:p w:rsidR="00E1317C" w:rsidRPr="00E1317C" w:rsidRDefault="00E1317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16" w:rsidRDefault="00190316">
      <w:r>
        <w:separator/>
      </w:r>
    </w:p>
  </w:footnote>
  <w:footnote w:type="continuationSeparator" w:id="0">
    <w:p w:rsidR="00190316" w:rsidRDefault="0019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1E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4C8" w:rsidRDefault="00FA54C8" w:rsidP="00FA54C8">
    <w:pPr>
      <w:pStyle w:val="bpuHeadSpon"/>
    </w:pPr>
    <w:r w:rsidRPr="00F43BA5">
      <w:rPr>
        <w:rStyle w:val="bpuHeadSponChar"/>
      </w:rPr>
      <w:t>S2384</w:t>
    </w:r>
    <w:r>
      <w:t xml:space="preserve"> </w:t>
    </w:r>
    <w:r w:rsidR="00E1317C">
      <w:t>[2R]</w:t>
    </w:r>
    <w:r w:rsidR="00A7629D">
      <w:t xml:space="preserve"> </w:t>
    </w:r>
    <w:r>
      <w:t>GREENSTEIN, GILL</w:t>
    </w:r>
  </w:p>
  <w:p w:rsidR="00F43BA5" w:rsidRDefault="00F43BA5" w:rsidP="00F43BA5">
    <w:pPr>
      <w:pStyle w:val="bpuHeadSpon"/>
    </w:pPr>
    <w:r>
      <w:fldChar w:fldCharType="begin"/>
    </w:r>
    <w:r>
      <w:instrText xml:space="preserve"> PAGE  \* MERGEFORMAT </w:instrText>
    </w:r>
    <w:r>
      <w:fldChar w:fldCharType="separate"/>
    </w:r>
    <w:r w:rsidR="005B1E06">
      <w:rPr>
        <w:noProof/>
      </w:rPr>
      <w:t>4</w:t>
    </w:r>
    <w:r>
      <w:fldChar w:fldCharType="end"/>
    </w:r>
  </w:p>
  <w:p w:rsidR="00F43BA5" w:rsidRDefault="00F43BA5" w:rsidP="00F43B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3BA5" w:rsidRDefault="00F43BA5" w:rsidP="00F43BA5">
    <w:pPr>
      <w:pStyle w:val="bpuHeadSpon"/>
    </w:pPr>
    <w:r w:rsidRPr="00F43BA5">
      <w:rPr>
        <w:rStyle w:val="bpuHeadSponChar"/>
      </w:rPr>
      <w:t>S2384</w:t>
    </w:r>
    <w:r>
      <w:t xml:space="preserve"> </w:t>
    </w:r>
    <w:r w:rsidR="00E1317C">
      <w:t>[2R]</w:t>
    </w:r>
    <w:r w:rsidR="00A7629D">
      <w:t xml:space="preserve"> </w:t>
    </w:r>
    <w:r>
      <w:t>GREENSTEIN</w:t>
    </w:r>
    <w:r w:rsidR="00FA54C8">
      <w:t>, GILL</w:t>
    </w:r>
  </w:p>
  <w:p w:rsidR="00F43BA5" w:rsidRDefault="00F43BA5" w:rsidP="00F43BA5">
    <w:pPr>
      <w:pStyle w:val="bpuHeadSpon"/>
    </w:pPr>
    <w:r>
      <w:fldChar w:fldCharType="begin"/>
    </w:r>
    <w:r>
      <w:instrText xml:space="preserve"> PAGE  \* MERGEFORMAT </w:instrText>
    </w:r>
    <w:r>
      <w:fldChar w:fldCharType="separate"/>
    </w:r>
    <w:r w:rsidR="005B1E06">
      <w:rPr>
        <w:noProof/>
      </w:rPr>
      <w:t>2</w:t>
    </w:r>
    <w:r>
      <w:fldChar w:fldCharType="end"/>
    </w:r>
  </w:p>
  <w:p w:rsidR="00F43BA5" w:rsidRDefault="00F43BA5" w:rsidP="00F43B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16"/>
    <w:rsid w:val="000051BD"/>
    <w:rsid w:val="00010623"/>
    <w:rsid w:val="000160A5"/>
    <w:rsid w:val="0002335B"/>
    <w:rsid w:val="00031040"/>
    <w:rsid w:val="0003549A"/>
    <w:rsid w:val="000367AE"/>
    <w:rsid w:val="00043B22"/>
    <w:rsid w:val="00054975"/>
    <w:rsid w:val="00057D20"/>
    <w:rsid w:val="0006197C"/>
    <w:rsid w:val="0006281F"/>
    <w:rsid w:val="0008141C"/>
    <w:rsid w:val="00085A58"/>
    <w:rsid w:val="00094A55"/>
    <w:rsid w:val="000A44A7"/>
    <w:rsid w:val="000B1054"/>
    <w:rsid w:val="000B3411"/>
    <w:rsid w:val="000C054C"/>
    <w:rsid w:val="000C12C2"/>
    <w:rsid w:val="000D11AF"/>
    <w:rsid w:val="000D6255"/>
    <w:rsid w:val="000D6262"/>
    <w:rsid w:val="000D7B4A"/>
    <w:rsid w:val="000E2558"/>
    <w:rsid w:val="000E4006"/>
    <w:rsid w:val="000F3DA2"/>
    <w:rsid w:val="000F5FDE"/>
    <w:rsid w:val="000F7466"/>
    <w:rsid w:val="0013000E"/>
    <w:rsid w:val="00133F81"/>
    <w:rsid w:val="00135943"/>
    <w:rsid w:val="00143107"/>
    <w:rsid w:val="00162BD6"/>
    <w:rsid w:val="001645FB"/>
    <w:rsid w:val="00172AFD"/>
    <w:rsid w:val="00173D2B"/>
    <w:rsid w:val="00181676"/>
    <w:rsid w:val="00183603"/>
    <w:rsid w:val="001876B6"/>
    <w:rsid w:val="00190316"/>
    <w:rsid w:val="00191DEA"/>
    <w:rsid w:val="00194E78"/>
    <w:rsid w:val="0019707B"/>
    <w:rsid w:val="00197E8B"/>
    <w:rsid w:val="00197FA4"/>
    <w:rsid w:val="001A161A"/>
    <w:rsid w:val="001A3B79"/>
    <w:rsid w:val="001A42BC"/>
    <w:rsid w:val="001A5471"/>
    <w:rsid w:val="001A66B6"/>
    <w:rsid w:val="001B4716"/>
    <w:rsid w:val="001B4EA4"/>
    <w:rsid w:val="001C7C52"/>
    <w:rsid w:val="001D25F3"/>
    <w:rsid w:val="001E15F1"/>
    <w:rsid w:val="001E16FA"/>
    <w:rsid w:val="001E6213"/>
    <w:rsid w:val="001F14C7"/>
    <w:rsid w:val="001F7405"/>
    <w:rsid w:val="00205533"/>
    <w:rsid w:val="00212B8D"/>
    <w:rsid w:val="00222983"/>
    <w:rsid w:val="00230B43"/>
    <w:rsid w:val="002370D0"/>
    <w:rsid w:val="00255958"/>
    <w:rsid w:val="00257799"/>
    <w:rsid w:val="00257FA2"/>
    <w:rsid w:val="0026574A"/>
    <w:rsid w:val="002660BB"/>
    <w:rsid w:val="002720E8"/>
    <w:rsid w:val="00275293"/>
    <w:rsid w:val="002776B0"/>
    <w:rsid w:val="00285A0D"/>
    <w:rsid w:val="00286C7E"/>
    <w:rsid w:val="00292D90"/>
    <w:rsid w:val="002A1029"/>
    <w:rsid w:val="002A3A1A"/>
    <w:rsid w:val="002A4692"/>
    <w:rsid w:val="002A51BA"/>
    <w:rsid w:val="002B2E26"/>
    <w:rsid w:val="002B3FE6"/>
    <w:rsid w:val="002C2D81"/>
    <w:rsid w:val="002C461E"/>
    <w:rsid w:val="002C6CEC"/>
    <w:rsid w:val="002E09CE"/>
    <w:rsid w:val="002E69D1"/>
    <w:rsid w:val="002F3BA6"/>
    <w:rsid w:val="002F7F0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C0A"/>
    <w:rsid w:val="003A3C64"/>
    <w:rsid w:val="003A3F83"/>
    <w:rsid w:val="003B58A4"/>
    <w:rsid w:val="003C213C"/>
    <w:rsid w:val="003C43EF"/>
    <w:rsid w:val="003C5A6B"/>
    <w:rsid w:val="003C7FB2"/>
    <w:rsid w:val="003D03A1"/>
    <w:rsid w:val="003D24DE"/>
    <w:rsid w:val="003D367A"/>
    <w:rsid w:val="003E26D4"/>
    <w:rsid w:val="003E47BA"/>
    <w:rsid w:val="003F3B37"/>
    <w:rsid w:val="0040195A"/>
    <w:rsid w:val="00402DC0"/>
    <w:rsid w:val="00405943"/>
    <w:rsid w:val="0041124B"/>
    <w:rsid w:val="00416C4B"/>
    <w:rsid w:val="0041751E"/>
    <w:rsid w:val="004211E5"/>
    <w:rsid w:val="00422091"/>
    <w:rsid w:val="0043386C"/>
    <w:rsid w:val="00436F2D"/>
    <w:rsid w:val="00436F5D"/>
    <w:rsid w:val="00441B42"/>
    <w:rsid w:val="0044274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41"/>
    <w:rsid w:val="004C742C"/>
    <w:rsid w:val="004D3846"/>
    <w:rsid w:val="004E1F3E"/>
    <w:rsid w:val="004E669D"/>
    <w:rsid w:val="004F21BD"/>
    <w:rsid w:val="004F4F1D"/>
    <w:rsid w:val="004F74DD"/>
    <w:rsid w:val="00501317"/>
    <w:rsid w:val="0050495C"/>
    <w:rsid w:val="00505DC9"/>
    <w:rsid w:val="00506E1E"/>
    <w:rsid w:val="00513C81"/>
    <w:rsid w:val="005169F5"/>
    <w:rsid w:val="00523F68"/>
    <w:rsid w:val="00527BFB"/>
    <w:rsid w:val="00532A32"/>
    <w:rsid w:val="005374B3"/>
    <w:rsid w:val="00540B0B"/>
    <w:rsid w:val="0054460F"/>
    <w:rsid w:val="005535C0"/>
    <w:rsid w:val="005536CD"/>
    <w:rsid w:val="00554051"/>
    <w:rsid w:val="00557240"/>
    <w:rsid w:val="005602A2"/>
    <w:rsid w:val="005651F3"/>
    <w:rsid w:val="00572184"/>
    <w:rsid w:val="00577A15"/>
    <w:rsid w:val="00580533"/>
    <w:rsid w:val="0059131D"/>
    <w:rsid w:val="00595AC3"/>
    <w:rsid w:val="005B1359"/>
    <w:rsid w:val="005B1E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DD"/>
    <w:rsid w:val="00621B94"/>
    <w:rsid w:val="00626239"/>
    <w:rsid w:val="00635316"/>
    <w:rsid w:val="00635449"/>
    <w:rsid w:val="006378C5"/>
    <w:rsid w:val="00645627"/>
    <w:rsid w:val="00645E6A"/>
    <w:rsid w:val="00655791"/>
    <w:rsid w:val="00664217"/>
    <w:rsid w:val="00665CBC"/>
    <w:rsid w:val="00667A5C"/>
    <w:rsid w:val="00677316"/>
    <w:rsid w:val="00686AEB"/>
    <w:rsid w:val="006A771F"/>
    <w:rsid w:val="006B7897"/>
    <w:rsid w:val="006B7FA7"/>
    <w:rsid w:val="006C086A"/>
    <w:rsid w:val="006C21C1"/>
    <w:rsid w:val="006C24B4"/>
    <w:rsid w:val="006C7327"/>
    <w:rsid w:val="006D00E5"/>
    <w:rsid w:val="006D0183"/>
    <w:rsid w:val="006D791B"/>
    <w:rsid w:val="006E1AAB"/>
    <w:rsid w:val="006E2895"/>
    <w:rsid w:val="006F180D"/>
    <w:rsid w:val="006F4334"/>
    <w:rsid w:val="006F47AF"/>
    <w:rsid w:val="006F6B8A"/>
    <w:rsid w:val="00707CD3"/>
    <w:rsid w:val="00710303"/>
    <w:rsid w:val="00716BB9"/>
    <w:rsid w:val="007256D1"/>
    <w:rsid w:val="007279FD"/>
    <w:rsid w:val="007502CB"/>
    <w:rsid w:val="00752D79"/>
    <w:rsid w:val="00752E20"/>
    <w:rsid w:val="00756EDE"/>
    <w:rsid w:val="0077437F"/>
    <w:rsid w:val="00781B4D"/>
    <w:rsid w:val="007824BF"/>
    <w:rsid w:val="00783B8D"/>
    <w:rsid w:val="007851AB"/>
    <w:rsid w:val="00794B94"/>
    <w:rsid w:val="00794BD4"/>
    <w:rsid w:val="00797F55"/>
    <w:rsid w:val="007A2F73"/>
    <w:rsid w:val="007A3061"/>
    <w:rsid w:val="007A5A0B"/>
    <w:rsid w:val="007A666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2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BAD"/>
    <w:rsid w:val="00914A23"/>
    <w:rsid w:val="00916F7A"/>
    <w:rsid w:val="00917FE3"/>
    <w:rsid w:val="00921E3C"/>
    <w:rsid w:val="009318C7"/>
    <w:rsid w:val="00931C09"/>
    <w:rsid w:val="009348C2"/>
    <w:rsid w:val="009440D0"/>
    <w:rsid w:val="0095213F"/>
    <w:rsid w:val="009523A3"/>
    <w:rsid w:val="00960958"/>
    <w:rsid w:val="00963A46"/>
    <w:rsid w:val="00966A3E"/>
    <w:rsid w:val="00971493"/>
    <w:rsid w:val="00971AD9"/>
    <w:rsid w:val="00973069"/>
    <w:rsid w:val="00973523"/>
    <w:rsid w:val="00980766"/>
    <w:rsid w:val="009835D4"/>
    <w:rsid w:val="009865D4"/>
    <w:rsid w:val="00993DC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67D"/>
    <w:rsid w:val="00A222C2"/>
    <w:rsid w:val="00A305D6"/>
    <w:rsid w:val="00A342C4"/>
    <w:rsid w:val="00A35861"/>
    <w:rsid w:val="00A47BEB"/>
    <w:rsid w:val="00A50F6B"/>
    <w:rsid w:val="00A52237"/>
    <w:rsid w:val="00A551D6"/>
    <w:rsid w:val="00A6251B"/>
    <w:rsid w:val="00A65C82"/>
    <w:rsid w:val="00A6754E"/>
    <w:rsid w:val="00A70F58"/>
    <w:rsid w:val="00A72987"/>
    <w:rsid w:val="00A731DC"/>
    <w:rsid w:val="00A7346B"/>
    <w:rsid w:val="00A7629D"/>
    <w:rsid w:val="00A7677B"/>
    <w:rsid w:val="00A76970"/>
    <w:rsid w:val="00A84C4F"/>
    <w:rsid w:val="00A932A1"/>
    <w:rsid w:val="00A94B7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5D0"/>
    <w:rsid w:val="00B0116D"/>
    <w:rsid w:val="00B01173"/>
    <w:rsid w:val="00B02F35"/>
    <w:rsid w:val="00B05A3C"/>
    <w:rsid w:val="00B07100"/>
    <w:rsid w:val="00B1110B"/>
    <w:rsid w:val="00B1138C"/>
    <w:rsid w:val="00B2574A"/>
    <w:rsid w:val="00B35D8A"/>
    <w:rsid w:val="00B45B34"/>
    <w:rsid w:val="00B57047"/>
    <w:rsid w:val="00B61D86"/>
    <w:rsid w:val="00B6342D"/>
    <w:rsid w:val="00B67731"/>
    <w:rsid w:val="00B726BD"/>
    <w:rsid w:val="00B732BC"/>
    <w:rsid w:val="00B90E33"/>
    <w:rsid w:val="00B9676B"/>
    <w:rsid w:val="00BA11C0"/>
    <w:rsid w:val="00BA2EA5"/>
    <w:rsid w:val="00BA364B"/>
    <w:rsid w:val="00BB1190"/>
    <w:rsid w:val="00BB31D0"/>
    <w:rsid w:val="00BB3A11"/>
    <w:rsid w:val="00BB4DDB"/>
    <w:rsid w:val="00BB5D79"/>
    <w:rsid w:val="00BB5F02"/>
    <w:rsid w:val="00BC7892"/>
    <w:rsid w:val="00BD2E64"/>
    <w:rsid w:val="00BE24D6"/>
    <w:rsid w:val="00BE7EFA"/>
    <w:rsid w:val="00BF06AD"/>
    <w:rsid w:val="00BF2C67"/>
    <w:rsid w:val="00C04F4D"/>
    <w:rsid w:val="00C10662"/>
    <w:rsid w:val="00C12E48"/>
    <w:rsid w:val="00C13D14"/>
    <w:rsid w:val="00C152C7"/>
    <w:rsid w:val="00C15F53"/>
    <w:rsid w:val="00C23F09"/>
    <w:rsid w:val="00C25356"/>
    <w:rsid w:val="00C27DAA"/>
    <w:rsid w:val="00C328D0"/>
    <w:rsid w:val="00C45902"/>
    <w:rsid w:val="00C46BC1"/>
    <w:rsid w:val="00C5235F"/>
    <w:rsid w:val="00C54CE2"/>
    <w:rsid w:val="00C63594"/>
    <w:rsid w:val="00C66BF3"/>
    <w:rsid w:val="00C70140"/>
    <w:rsid w:val="00C70842"/>
    <w:rsid w:val="00C73CA7"/>
    <w:rsid w:val="00C7669C"/>
    <w:rsid w:val="00C76C1C"/>
    <w:rsid w:val="00C822F6"/>
    <w:rsid w:val="00C82AC2"/>
    <w:rsid w:val="00C8456C"/>
    <w:rsid w:val="00C91E19"/>
    <w:rsid w:val="00C92402"/>
    <w:rsid w:val="00C92867"/>
    <w:rsid w:val="00C93B93"/>
    <w:rsid w:val="00CA037D"/>
    <w:rsid w:val="00CA0837"/>
    <w:rsid w:val="00CA2442"/>
    <w:rsid w:val="00CA4096"/>
    <w:rsid w:val="00CA4725"/>
    <w:rsid w:val="00CA575E"/>
    <w:rsid w:val="00CB6246"/>
    <w:rsid w:val="00CC0A17"/>
    <w:rsid w:val="00CC0BB1"/>
    <w:rsid w:val="00CD0F93"/>
    <w:rsid w:val="00CD1BD1"/>
    <w:rsid w:val="00CD33DF"/>
    <w:rsid w:val="00CD528D"/>
    <w:rsid w:val="00CE6228"/>
    <w:rsid w:val="00CE78BF"/>
    <w:rsid w:val="00CF65EB"/>
    <w:rsid w:val="00CF72AD"/>
    <w:rsid w:val="00D023C6"/>
    <w:rsid w:val="00D02441"/>
    <w:rsid w:val="00D039F4"/>
    <w:rsid w:val="00D10496"/>
    <w:rsid w:val="00D11173"/>
    <w:rsid w:val="00D1215F"/>
    <w:rsid w:val="00D16561"/>
    <w:rsid w:val="00D17FF8"/>
    <w:rsid w:val="00D20A99"/>
    <w:rsid w:val="00D268AC"/>
    <w:rsid w:val="00D27FF3"/>
    <w:rsid w:val="00D343D0"/>
    <w:rsid w:val="00D3664D"/>
    <w:rsid w:val="00D500E9"/>
    <w:rsid w:val="00D507BC"/>
    <w:rsid w:val="00D6090A"/>
    <w:rsid w:val="00D62FA3"/>
    <w:rsid w:val="00D63B6F"/>
    <w:rsid w:val="00D64A90"/>
    <w:rsid w:val="00D70E77"/>
    <w:rsid w:val="00D9410B"/>
    <w:rsid w:val="00D9695B"/>
    <w:rsid w:val="00DA2417"/>
    <w:rsid w:val="00DA5585"/>
    <w:rsid w:val="00DB02AC"/>
    <w:rsid w:val="00DB6AA2"/>
    <w:rsid w:val="00DE10D1"/>
    <w:rsid w:val="00DE2514"/>
    <w:rsid w:val="00DE6851"/>
    <w:rsid w:val="00DF03EE"/>
    <w:rsid w:val="00E01B71"/>
    <w:rsid w:val="00E05CC9"/>
    <w:rsid w:val="00E1317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67A"/>
    <w:rsid w:val="00E93836"/>
    <w:rsid w:val="00EA0E66"/>
    <w:rsid w:val="00EA7C16"/>
    <w:rsid w:val="00EC5281"/>
    <w:rsid w:val="00EC791D"/>
    <w:rsid w:val="00EC7CA6"/>
    <w:rsid w:val="00ED3C5D"/>
    <w:rsid w:val="00ED4553"/>
    <w:rsid w:val="00EF59F6"/>
    <w:rsid w:val="00F00D08"/>
    <w:rsid w:val="00F06E7D"/>
    <w:rsid w:val="00F153A2"/>
    <w:rsid w:val="00F15583"/>
    <w:rsid w:val="00F1691B"/>
    <w:rsid w:val="00F200EE"/>
    <w:rsid w:val="00F22481"/>
    <w:rsid w:val="00F243A0"/>
    <w:rsid w:val="00F2542E"/>
    <w:rsid w:val="00F27278"/>
    <w:rsid w:val="00F344E3"/>
    <w:rsid w:val="00F34D58"/>
    <w:rsid w:val="00F4158B"/>
    <w:rsid w:val="00F41A9D"/>
    <w:rsid w:val="00F42F28"/>
    <w:rsid w:val="00F43BA5"/>
    <w:rsid w:val="00F44314"/>
    <w:rsid w:val="00F54B9C"/>
    <w:rsid w:val="00F56E96"/>
    <w:rsid w:val="00F573DD"/>
    <w:rsid w:val="00F61E59"/>
    <w:rsid w:val="00F63D99"/>
    <w:rsid w:val="00F6426B"/>
    <w:rsid w:val="00F709B3"/>
    <w:rsid w:val="00F71A5E"/>
    <w:rsid w:val="00F95FD9"/>
    <w:rsid w:val="00FA0AFC"/>
    <w:rsid w:val="00FA1C82"/>
    <w:rsid w:val="00FA2ED1"/>
    <w:rsid w:val="00FA4660"/>
    <w:rsid w:val="00FA4A52"/>
    <w:rsid w:val="00FA54C8"/>
    <w:rsid w:val="00FB4045"/>
    <w:rsid w:val="00FB42A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5CF418"/>
  <w15:docId w15:val="{3FD53737-42AD-4034-9CE0-41F74445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F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FD9"/>
    <w:rPr>
      <w:rFonts w:ascii="Segoe UI" w:hAnsi="Segoe UI" w:cs="Segoe UI"/>
      <w:spacing w:val="4"/>
      <w:sz w:val="18"/>
      <w:szCs w:val="18"/>
    </w:rPr>
  </w:style>
  <w:style w:type="character" w:styleId="LineNumber">
    <w:name w:val="line number"/>
    <w:basedOn w:val="DefaultParagraphFont"/>
    <w:semiHidden/>
    <w:unhideWhenUsed/>
    <w:rsid w:val="00F43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1238</Words>
  <Characters>6985</Characters>
  <Application>Microsoft Office Word</Application>
  <DocSecurity>0</DocSecurity>
  <Lines>160</Lines>
  <Paragraphs>35</Paragraphs>
  <ScaleCrop>false</ScaleCrop>
  <HeadingPairs>
    <vt:vector size="2" baseType="variant">
      <vt:variant>
        <vt:lpstr>Title</vt:lpstr>
      </vt:variant>
      <vt:variant>
        <vt:i4>1</vt:i4>
      </vt:variant>
    </vt:vector>
  </HeadingPairs>
  <TitlesOfParts>
    <vt:vector size="1" baseType="lpstr">
      <vt:lpstr>S2384 2R</vt:lpstr>
    </vt:vector>
  </TitlesOfParts>
  <Manager>R230</Manager>
  <Company>NJ Office of Legislative Services</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2R</dc:title>
  <dc:subject>20-7057</dc:subject>
  <dc:creator>Senator  GREENSTEIN</dc:creator>
  <cp:keywords>S2384|4|HS |259|219|219|!|0|</cp:keywords>
  <dc:description>INTRODUCED MAY 4, 2020_x000d_
Amended 7/28/20_x000d_
Amended 12/14/20</dc:description>
  <cp:lastModifiedBy>Todaro, Vivian</cp:lastModifiedBy>
  <cp:revision>2</cp:revision>
  <cp:lastPrinted>2020-12-18T17:38:00Z</cp:lastPrinted>
  <dcterms:created xsi:type="dcterms:W3CDTF">2020-12-18T17:39:00Z</dcterms:created>
  <dcterms:modified xsi:type="dcterms:W3CDTF">2020-12-18T17:39:00Z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