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FDDB3"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668E78E" w14:textId="77777777" w:rsidR="00407C9E" w:rsidRDefault="0025355B" w:rsidP="00407C9E">
      <w:pPr>
        <w:pStyle w:val="NoteOrEstimate"/>
      </w:pPr>
      <w:r>
        <w:t>LEGISLATIVE FISCAL ESTIMATE</w:t>
      </w:r>
    </w:p>
    <w:p w14:paraId="11881006" w14:textId="77777777" w:rsidR="0025355B" w:rsidRPr="0025355B" w:rsidRDefault="001B6849" w:rsidP="0025355B">
      <w:pPr>
        <w:pStyle w:val="Reprint"/>
      </w:pPr>
      <w:r>
        <w:t>[Fourth</w:t>
      </w:r>
      <w:r w:rsidR="0025355B">
        <w:t xml:space="preserve"> Reprint]</w:t>
      </w:r>
    </w:p>
    <w:p w14:paraId="2BDB7D10" w14:textId="77777777" w:rsidR="003C5892" w:rsidRDefault="0025355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2400</w:t>
      </w:r>
    </w:p>
    <w:p w14:paraId="1E59A236" w14:textId="77777777" w:rsidR="003C5892" w:rsidRPr="00353325" w:rsidRDefault="003C5892" w:rsidP="00353325">
      <w:pPr>
        <w:pStyle w:val="StateFormat"/>
      </w:pPr>
      <w:r>
        <w:t xml:space="preserve">STATE OF NEW </w:t>
      </w:r>
      <w:smartTag w:uri="urn:schemas-microsoft-com:office:smarttags" w:element="place">
        <w:r>
          <w:t>JERSEY</w:t>
        </w:r>
      </w:smartTag>
    </w:p>
    <w:p w14:paraId="6FB0AB76" w14:textId="757A0347" w:rsidR="00353325" w:rsidRDefault="00A6085B" w:rsidP="00A6085B">
      <w:pPr>
        <w:pStyle w:val="BillNo"/>
      </w:pPr>
      <w:r>
        <w:t>219th LEGISLATURE</w:t>
      </w:r>
    </w:p>
    <w:p w14:paraId="67AEB065" w14:textId="64DCB4C6" w:rsidR="00353325" w:rsidRDefault="00353325" w:rsidP="00353325"/>
    <w:p w14:paraId="0210050C" w14:textId="68FFD541" w:rsidR="00A6085B" w:rsidRDefault="00A6085B" w:rsidP="00A6085B">
      <w:pPr>
        <w:jc w:val="center"/>
      </w:pPr>
      <w:r>
        <w:t>DATED: JUNE 24, 2021</w:t>
      </w:r>
    </w:p>
    <w:p w14:paraId="430319C1" w14:textId="39A51E24" w:rsidR="00A6085B" w:rsidRDefault="00A6085B" w:rsidP="00353325"/>
    <w:p w14:paraId="0E822AC4" w14:textId="77777777" w:rsidR="00A6085B" w:rsidRDefault="00A6085B" w:rsidP="00353325"/>
    <w:p w14:paraId="33B20D80" w14:textId="77777777" w:rsidR="00006CB4" w:rsidRPr="003C5892" w:rsidRDefault="00006CB4" w:rsidP="00006CB4">
      <w:pPr>
        <w:pStyle w:val="SectionHeading"/>
        <w:tabs>
          <w:tab w:val="left" w:pos="360"/>
          <w:tab w:val="left" w:pos="720"/>
          <w:tab w:val="left" w:pos="1440"/>
          <w:tab w:val="left" w:pos="2160"/>
          <w:tab w:val="left" w:pos="2880"/>
          <w:tab w:val="left" w:pos="3600"/>
          <w:tab w:val="left" w:pos="4320"/>
          <w:tab w:val="left" w:pos="5040"/>
        </w:tabs>
      </w:pPr>
      <w:r>
        <w:t>SUMMARY</w:t>
      </w:r>
    </w:p>
    <w:p w14:paraId="50BCB62D" w14:textId="77777777" w:rsidR="00006CB4" w:rsidRDefault="00006CB4" w:rsidP="00006CB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06CB4" w14:paraId="64334C16" w14:textId="77777777" w:rsidTr="00DD515E">
        <w:trPr>
          <w:trHeight w:val="576"/>
        </w:trPr>
        <w:tc>
          <w:tcPr>
            <w:tcW w:w="2333" w:type="dxa"/>
          </w:tcPr>
          <w:p w14:paraId="72A5AB8B" w14:textId="77777777" w:rsidR="00006CB4" w:rsidRPr="003C5892" w:rsidRDefault="00006CB4" w:rsidP="00DD515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8B2F379" w14:textId="77777777" w:rsidR="00006CB4" w:rsidRDefault="002F4DB8" w:rsidP="00DD515E">
            <w:r w:rsidRPr="002F4DB8">
              <w:t>Provides temporary modifications to payment and use of certain casino gaming taxes and fees; permanently redefines promotional gaming credits to include certain coupons and table game wagers; requires priority funding for senior and disabled transportation services.</w:t>
            </w:r>
          </w:p>
        </w:tc>
      </w:tr>
      <w:tr w:rsidR="00006CB4" w14:paraId="0E77C2BB" w14:textId="77777777" w:rsidTr="00DD515E">
        <w:trPr>
          <w:trHeight w:val="576"/>
        </w:trPr>
        <w:tc>
          <w:tcPr>
            <w:tcW w:w="2333" w:type="dxa"/>
          </w:tcPr>
          <w:p w14:paraId="1EFACDBF" w14:textId="77777777" w:rsidR="00006CB4" w:rsidRPr="003C5892" w:rsidRDefault="00006CB4" w:rsidP="00DD515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6B3E57E" w14:textId="77777777" w:rsidR="00006CB4" w:rsidRDefault="00B85AB5" w:rsidP="00B85AB5">
            <w:r>
              <w:t>Reduction</w:t>
            </w:r>
            <w:r w:rsidR="00006CB4">
              <w:t xml:space="preserve"> in State revenues; </w:t>
            </w:r>
            <w:r>
              <w:t xml:space="preserve">potential </w:t>
            </w:r>
            <w:r w:rsidR="00006CB4">
              <w:t xml:space="preserve">shift in State revenues </w:t>
            </w:r>
            <w:r>
              <w:t>between FY 2022 and FY 2023.</w:t>
            </w:r>
          </w:p>
        </w:tc>
      </w:tr>
      <w:tr w:rsidR="00006CB4" w14:paraId="4D0A1D3C" w14:textId="77777777" w:rsidTr="00DD515E">
        <w:trPr>
          <w:trHeight w:val="576"/>
        </w:trPr>
        <w:tc>
          <w:tcPr>
            <w:tcW w:w="2333" w:type="dxa"/>
          </w:tcPr>
          <w:p w14:paraId="23763D01" w14:textId="77777777" w:rsidR="00006CB4" w:rsidRPr="003C5892" w:rsidRDefault="00006CB4" w:rsidP="00DD515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A0F0444" w14:textId="77777777" w:rsidR="00006CB4" w:rsidRDefault="00006CB4" w:rsidP="00DD515E">
            <w:r>
              <w:t>Casino Control Commission;</w:t>
            </w:r>
          </w:p>
          <w:p w14:paraId="7D236151" w14:textId="77777777" w:rsidR="00006CB4" w:rsidRDefault="00006CB4" w:rsidP="00DD515E">
            <w:r>
              <w:t>Casino Reinvestment Development Authority;</w:t>
            </w:r>
          </w:p>
          <w:p w14:paraId="51595E9B" w14:textId="77777777" w:rsidR="00006CB4" w:rsidRDefault="00006CB4" w:rsidP="00DD515E">
            <w:r>
              <w:t>Department of Law and Public Safety; and</w:t>
            </w:r>
          </w:p>
          <w:p w14:paraId="6C8F35A6" w14:textId="77777777" w:rsidR="00006CB4" w:rsidRDefault="00006CB4" w:rsidP="00DD515E">
            <w:r>
              <w:t>Department of the Treasury.</w:t>
            </w:r>
          </w:p>
        </w:tc>
      </w:tr>
    </w:tbl>
    <w:p w14:paraId="1810716C"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49DC01EB" w14:textId="77777777" w:rsidR="00006CB4" w:rsidRDefault="00006CB4" w:rsidP="00006CB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3515"/>
        <w:gridCol w:w="3515"/>
        <w:gridCol w:w="15"/>
      </w:tblGrid>
      <w:tr w:rsidR="00006CB4" w14:paraId="471DA434" w14:textId="77777777" w:rsidTr="00DD515E">
        <w:trPr>
          <w:trHeight w:val="410"/>
        </w:trPr>
        <w:tc>
          <w:tcPr>
            <w:tcW w:w="9375" w:type="dxa"/>
            <w:gridSpan w:val="4"/>
            <w:tcBorders>
              <w:top w:val="nil"/>
              <w:left w:val="nil"/>
              <w:bottom w:val="nil"/>
              <w:right w:val="nil"/>
            </w:tcBorders>
            <w:vAlign w:val="bottom"/>
          </w:tcPr>
          <w:p w14:paraId="18426B5E" w14:textId="77777777" w:rsidR="00006CB4" w:rsidRPr="00F11982" w:rsidRDefault="00006CB4" w:rsidP="00DD515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85AB5" w14:paraId="7B51B68C" w14:textId="77777777" w:rsidTr="001A2B39">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14:paraId="57313B6D" w14:textId="77777777" w:rsidR="00B85AB5" w:rsidRPr="00F11982" w:rsidRDefault="00B85AB5" w:rsidP="00DD515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515" w:type="dxa"/>
            <w:tcBorders>
              <w:top w:val="single" w:sz="6" w:space="0" w:color="auto"/>
              <w:left w:val="nil"/>
              <w:bottom w:val="single" w:sz="12" w:space="0" w:color="auto"/>
              <w:right w:val="single" w:sz="6" w:space="0" w:color="auto"/>
            </w:tcBorders>
            <w:shd w:val="pct20" w:color="auto" w:fill="auto"/>
            <w:vAlign w:val="bottom"/>
          </w:tcPr>
          <w:p w14:paraId="16C1AAF4" w14:textId="77777777" w:rsidR="00B85AB5" w:rsidRPr="00F11982" w:rsidRDefault="00B85AB5" w:rsidP="00B85AB5">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c>
          <w:tcPr>
            <w:tcW w:w="3515" w:type="dxa"/>
            <w:tcBorders>
              <w:top w:val="single" w:sz="6" w:space="0" w:color="auto"/>
              <w:left w:val="nil"/>
              <w:bottom w:val="single" w:sz="12" w:space="0" w:color="auto"/>
              <w:right w:val="single" w:sz="6" w:space="0" w:color="auto"/>
            </w:tcBorders>
            <w:shd w:val="pct20" w:color="auto" w:fill="auto"/>
            <w:vAlign w:val="bottom"/>
          </w:tcPr>
          <w:p w14:paraId="1EC80AC4" w14:textId="77777777" w:rsidR="00B85AB5" w:rsidRPr="00F11982" w:rsidRDefault="00B85AB5" w:rsidP="002F4DB8">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r>
      <w:tr w:rsidR="00B85AB5" w14:paraId="7E764504" w14:textId="77777777" w:rsidTr="00C879DF">
        <w:trPr>
          <w:gridAfter w:val="1"/>
          <w:wAfter w:w="15" w:type="dxa"/>
          <w:trHeight w:val="410"/>
        </w:trPr>
        <w:tc>
          <w:tcPr>
            <w:tcW w:w="2330" w:type="dxa"/>
            <w:tcBorders>
              <w:top w:val="nil"/>
              <w:left w:val="single" w:sz="6" w:space="0" w:color="auto"/>
              <w:bottom w:val="nil"/>
              <w:right w:val="nil"/>
            </w:tcBorders>
            <w:tcMar>
              <w:bottom w:w="29" w:type="dxa"/>
            </w:tcMar>
            <w:vAlign w:val="bottom"/>
          </w:tcPr>
          <w:p w14:paraId="08D525A7" w14:textId="77777777" w:rsidR="00B85AB5" w:rsidRPr="00F11982" w:rsidRDefault="00B85AB5" w:rsidP="00DD515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3515" w:type="dxa"/>
            <w:tcBorders>
              <w:top w:val="nil"/>
              <w:left w:val="nil"/>
              <w:bottom w:val="nil"/>
              <w:right w:val="single" w:sz="6" w:space="0" w:color="auto"/>
            </w:tcBorders>
            <w:tcMar>
              <w:bottom w:w="29" w:type="dxa"/>
            </w:tcMar>
            <w:vAlign w:val="bottom"/>
          </w:tcPr>
          <w:p w14:paraId="741236D4" w14:textId="77777777" w:rsidR="00B85AB5" w:rsidRDefault="00B85AB5" w:rsidP="00DD515E">
            <w:pPr>
              <w:tabs>
                <w:tab w:val="left" w:pos="360"/>
                <w:tab w:val="left" w:pos="720"/>
                <w:tab w:val="left" w:pos="1440"/>
                <w:tab w:val="left" w:pos="2160"/>
                <w:tab w:val="left" w:pos="2880"/>
                <w:tab w:val="left" w:pos="3600"/>
                <w:tab w:val="left" w:pos="4320"/>
                <w:tab w:val="left" w:pos="5040"/>
              </w:tabs>
              <w:jc w:val="center"/>
            </w:pPr>
            <w:r>
              <w:t>$</w:t>
            </w:r>
            <w:r w:rsidR="007B5F49">
              <w:t>56.3 million to $98.0</w:t>
            </w:r>
            <w:r>
              <w:t xml:space="preserve"> million</w:t>
            </w:r>
          </w:p>
        </w:tc>
        <w:tc>
          <w:tcPr>
            <w:tcW w:w="3515" w:type="dxa"/>
            <w:tcBorders>
              <w:top w:val="nil"/>
              <w:left w:val="nil"/>
              <w:bottom w:val="nil"/>
              <w:right w:val="single" w:sz="6" w:space="0" w:color="auto"/>
            </w:tcBorders>
            <w:vAlign w:val="bottom"/>
          </w:tcPr>
          <w:p w14:paraId="79CE67EF" w14:textId="77777777" w:rsidR="00B85AB5" w:rsidRDefault="00B85AB5" w:rsidP="00DD515E">
            <w:pPr>
              <w:tabs>
                <w:tab w:val="left" w:pos="360"/>
                <w:tab w:val="left" w:pos="720"/>
                <w:tab w:val="left" w:pos="1440"/>
                <w:tab w:val="left" w:pos="2160"/>
                <w:tab w:val="left" w:pos="2880"/>
                <w:tab w:val="left" w:pos="3600"/>
                <w:tab w:val="left" w:pos="4320"/>
                <w:tab w:val="left" w:pos="5040"/>
              </w:tabs>
              <w:jc w:val="center"/>
            </w:pPr>
            <w:r>
              <w:t>At least $7.2 million</w:t>
            </w:r>
          </w:p>
        </w:tc>
      </w:tr>
      <w:tr w:rsidR="00006CB4" w14:paraId="7535C1D4" w14:textId="77777777" w:rsidTr="00DD515E">
        <w:trPr>
          <w:gridAfter w:val="1"/>
          <w:wAfter w:w="15" w:type="dxa"/>
          <w:trHeight w:val="410"/>
        </w:trPr>
        <w:tc>
          <w:tcPr>
            <w:tcW w:w="2330" w:type="dxa"/>
            <w:tcBorders>
              <w:top w:val="nil"/>
              <w:left w:val="single" w:sz="6" w:space="0" w:color="auto"/>
              <w:bottom w:val="nil"/>
              <w:right w:val="nil"/>
            </w:tcBorders>
            <w:tcMar>
              <w:bottom w:w="29" w:type="dxa"/>
            </w:tcMar>
            <w:vAlign w:val="bottom"/>
          </w:tcPr>
          <w:p w14:paraId="1A429AC6" w14:textId="77777777" w:rsidR="00006CB4" w:rsidRPr="00F11982" w:rsidRDefault="00006CB4" w:rsidP="00DD515E">
            <w:pPr>
              <w:tabs>
                <w:tab w:val="left" w:pos="360"/>
                <w:tab w:val="left" w:pos="720"/>
                <w:tab w:val="left" w:pos="1440"/>
                <w:tab w:val="left" w:pos="2160"/>
                <w:tab w:val="left" w:pos="2880"/>
                <w:tab w:val="left" w:pos="3600"/>
                <w:tab w:val="left" w:pos="4320"/>
                <w:tab w:val="left" w:pos="5040"/>
              </w:tabs>
              <w:rPr>
                <w:b/>
              </w:rPr>
            </w:pPr>
            <w:r>
              <w:rPr>
                <w:b/>
              </w:rPr>
              <w:t>State Revenue Shift</w:t>
            </w:r>
          </w:p>
        </w:tc>
        <w:tc>
          <w:tcPr>
            <w:tcW w:w="7030" w:type="dxa"/>
            <w:gridSpan w:val="2"/>
            <w:tcBorders>
              <w:top w:val="nil"/>
              <w:left w:val="nil"/>
              <w:bottom w:val="nil"/>
              <w:right w:val="single" w:sz="6" w:space="0" w:color="auto"/>
            </w:tcBorders>
            <w:tcMar>
              <w:bottom w:w="29" w:type="dxa"/>
            </w:tcMar>
            <w:vAlign w:val="bottom"/>
          </w:tcPr>
          <w:p w14:paraId="08385C33" w14:textId="77777777" w:rsidR="00006CB4" w:rsidRDefault="00006CB4" w:rsidP="00DD515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006CB4" w14:paraId="52852FE7" w14:textId="77777777" w:rsidTr="00DD515E">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2A59CFCA" w14:textId="77777777" w:rsidR="00006CB4" w:rsidRDefault="00006CB4" w:rsidP="00DD515E">
            <w:pPr>
              <w:tabs>
                <w:tab w:val="left" w:pos="360"/>
                <w:tab w:val="left" w:pos="720"/>
                <w:tab w:val="left" w:pos="1440"/>
                <w:tab w:val="left" w:pos="2160"/>
                <w:tab w:val="left" w:pos="2880"/>
                <w:tab w:val="left" w:pos="3600"/>
                <w:tab w:val="left" w:pos="4320"/>
                <w:tab w:val="left" w:pos="5040"/>
              </w:tabs>
            </w:pPr>
          </w:p>
        </w:tc>
      </w:tr>
    </w:tbl>
    <w:p w14:paraId="5A8BA19C"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39C3BEB4" w14:textId="29C1B15D" w:rsidR="00006CB4" w:rsidRDefault="00B85AB5" w:rsidP="00A6085B">
      <w:pPr>
        <w:pStyle w:val="StyleBulletedSymbolsymbol"/>
        <w:spacing w:after="0"/>
      </w:pPr>
      <w:r>
        <w:t>The Office of Legislative Services (OLS)</w:t>
      </w:r>
      <w:r w:rsidRPr="00B85AB5">
        <w:t xml:space="preserve"> estimates that this bill could reduce FY 2022 revenues by $56.1 million to $97.3 million and FY 2023 revenues by at least $7.2 million.  The bill may also shift revenue from FY 2022 to FY 2023 by a negligible amount depending upon when the bill is enacted.</w:t>
      </w:r>
      <w:r w:rsidR="0028182E" w:rsidRPr="0028182E">
        <w:t xml:space="preserve"> </w:t>
      </w:r>
    </w:p>
    <w:p w14:paraId="06BE1342" w14:textId="77777777" w:rsidR="00A6085B" w:rsidRDefault="00A6085B" w:rsidP="00A6085B">
      <w:pPr>
        <w:pStyle w:val="StyleBulletedSymbolsymbol"/>
        <w:numPr>
          <w:ilvl w:val="0"/>
          <w:numId w:val="0"/>
        </w:numPr>
        <w:spacing w:after="0"/>
        <w:ind w:left="360" w:hanging="360"/>
      </w:pPr>
    </w:p>
    <w:p w14:paraId="2577E1D9" w14:textId="23E25A08" w:rsidR="00233789" w:rsidRDefault="00233789" w:rsidP="00A6085B">
      <w:pPr>
        <w:pStyle w:val="StyleBulletedSymbolsymbol"/>
        <w:spacing w:after="0"/>
      </w:pPr>
      <w:r w:rsidRPr="00233789">
        <w:t>The OLS notes that the fees deferred and waived by the bill are likely used, at least in part, to satisfy debt service and operational costs.  The C</w:t>
      </w:r>
      <w:r w:rsidR="001F39DF">
        <w:t xml:space="preserve">asino </w:t>
      </w:r>
      <w:r w:rsidRPr="00233789">
        <w:t>R</w:t>
      </w:r>
      <w:r w:rsidR="001F39DF">
        <w:t xml:space="preserve">einvestment Development </w:t>
      </w:r>
      <w:r w:rsidRPr="00233789">
        <w:t>A</w:t>
      </w:r>
      <w:r w:rsidR="001F39DF">
        <w:t>uthority</w:t>
      </w:r>
      <w:r w:rsidR="00F10E5D">
        <w:t xml:space="preserve"> (CRDA)</w:t>
      </w:r>
      <w:r w:rsidRPr="00233789">
        <w:t xml:space="preserve"> may have to utilize other sources of funding for debt service and operations that are traditionally covered by those fees.</w:t>
      </w:r>
    </w:p>
    <w:p w14:paraId="3DA4B0CF" w14:textId="1883EC07" w:rsidR="00A6085B" w:rsidRDefault="00A6085B" w:rsidP="00A6085B">
      <w:pPr>
        <w:pStyle w:val="StyleBulletedSymbolsymbol"/>
        <w:numPr>
          <w:ilvl w:val="0"/>
          <w:numId w:val="0"/>
        </w:numPr>
        <w:spacing w:after="0"/>
        <w:ind w:left="360" w:hanging="360"/>
      </w:pPr>
    </w:p>
    <w:p w14:paraId="18027C65" w14:textId="77777777" w:rsidR="00A6085B" w:rsidRDefault="00A6085B" w:rsidP="00A6085B">
      <w:pPr>
        <w:pStyle w:val="StyleBulletedSymbolsymbol"/>
        <w:numPr>
          <w:ilvl w:val="0"/>
          <w:numId w:val="0"/>
        </w:numPr>
        <w:spacing w:after="0"/>
        <w:ind w:left="360" w:hanging="360"/>
      </w:pPr>
    </w:p>
    <w:p w14:paraId="7FF53C9F" w14:textId="77777777" w:rsidR="00006CB4" w:rsidRPr="00255944" w:rsidRDefault="00006CB4" w:rsidP="00006CB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7E239912"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36B43B4E" w14:textId="77777777" w:rsidR="00006CB4" w:rsidRDefault="002D68B1" w:rsidP="00006CB4">
      <w:r>
        <w:t xml:space="preserve">      </w:t>
      </w:r>
      <w:r w:rsidR="00006CB4">
        <w:t xml:space="preserve">This bill provides for temporary modifications to the payment and use of </w:t>
      </w:r>
      <w:r w:rsidR="009A5EB7">
        <w:t xml:space="preserve">certain casino gaming taxes, </w:t>
      </w:r>
      <w:r w:rsidR="00006CB4">
        <w:t>fees</w:t>
      </w:r>
      <w:r w:rsidR="009A5EB7">
        <w:t>, and promotional gaming credits.</w:t>
      </w:r>
      <w:r w:rsidR="00006CB4">
        <w:t xml:space="preserve"> </w:t>
      </w:r>
    </w:p>
    <w:p w14:paraId="3B53EB3D" w14:textId="77777777" w:rsidR="00006CB4" w:rsidRDefault="002D68B1" w:rsidP="00006CB4">
      <w:r>
        <w:lastRenderedPageBreak/>
        <w:t xml:space="preserve">      </w:t>
      </w:r>
      <w:r w:rsidR="00006CB4">
        <w:t>The bill allows for certain licensing and other fees imposed on casino licensees</w:t>
      </w:r>
      <w:r w:rsidR="005D6171">
        <w:t xml:space="preserve"> </w:t>
      </w:r>
      <w:r w:rsidR="00006CB4">
        <w:t>to be deferred during the six-month perio</w:t>
      </w:r>
      <w:r w:rsidR="00A367C7">
        <w:t>d immediately following the bill’s effective date</w:t>
      </w:r>
      <w:r w:rsidR="00006CB4">
        <w:t xml:space="preserve">.  The annual license fee on each slot machine would be </w:t>
      </w:r>
      <w:r w:rsidR="00FD0BCB">
        <w:t>waived</w:t>
      </w:r>
      <w:r w:rsidR="00006CB4">
        <w:t xml:space="preserve"> </w:t>
      </w:r>
      <w:r w:rsidR="00A367C7">
        <w:t xml:space="preserve">for a 12-month period </w:t>
      </w:r>
      <w:r w:rsidR="00D70CCA">
        <w:t>commencing on the first day of the next calendar month following the effective date of the bill</w:t>
      </w:r>
      <w:r w:rsidR="00006CB4">
        <w:t xml:space="preserve">. The deferment or waiver would not apply to any fees imposed on a casino </w:t>
      </w:r>
      <w:proofErr w:type="spellStart"/>
      <w:r w:rsidR="00006CB4">
        <w:t>licensee</w:t>
      </w:r>
      <w:proofErr w:type="spellEnd"/>
      <w:r w:rsidR="00006CB4">
        <w:t xml:space="preserve"> or its Internet gaming affiliate for the issuance or renewal of any Internet gaming license or permit, or to any amounts required to be deposited in the </w:t>
      </w:r>
      <w:r w:rsidR="005D6171">
        <w:t>Casino Control Fund (</w:t>
      </w:r>
      <w:r w:rsidR="00006CB4">
        <w:t>CCF</w:t>
      </w:r>
      <w:r w:rsidR="005D6171">
        <w:t>)</w:t>
      </w:r>
      <w:r w:rsidR="00006CB4">
        <w:t xml:space="preserve"> from Internet wagering inactive or dormant accounts. </w:t>
      </w:r>
    </w:p>
    <w:p w14:paraId="1D745D14" w14:textId="77777777" w:rsidR="00006CB4" w:rsidRDefault="002D68B1" w:rsidP="00006CB4">
      <w:r>
        <w:t xml:space="preserve">      </w:t>
      </w:r>
      <w:r w:rsidR="00006CB4">
        <w:t>The bill requires any surplus funds held by the Division of Gaming Enforcement in the CCF, or held by the division due to an overpayment of the investment alternative tax in the case of a downward adjustment of the casino licensee’s audited gross revenues, to be returned to the casino licensee within a specified time period.</w:t>
      </w:r>
    </w:p>
    <w:p w14:paraId="14237A8C" w14:textId="77777777" w:rsidR="00006CB4" w:rsidRDefault="00262CD4" w:rsidP="00006CB4">
      <w:r>
        <w:t xml:space="preserve">      </w:t>
      </w:r>
      <w:r w:rsidR="00006CB4">
        <w:t xml:space="preserve">This bill provides for a reduced tax liability on casino gross revenue tax for brick-and-mortar casino properties. The reduced tax liability would be in effect </w:t>
      </w:r>
      <w:r w:rsidR="00006CB4" w:rsidRPr="008B5D77">
        <w:t xml:space="preserve">during the </w:t>
      </w:r>
      <w:r w:rsidR="00006CB4">
        <w:t>12-</w:t>
      </w:r>
      <w:r w:rsidR="00006CB4" w:rsidRPr="008B5D77">
        <w:t xml:space="preserve">month period commencing on </w:t>
      </w:r>
      <w:r w:rsidR="00692810">
        <w:t>the first day of the calendar month following the effective date of the bill</w:t>
      </w:r>
      <w:r w:rsidR="00006CB4">
        <w:t xml:space="preserve">.  To remain eligible to receive the tax liability reductions, the bill requires each casino licensee to submit certain information to the State Treasurer and the Division of Gaming Enforcement, at the same time that the reduced tax payments are made. </w:t>
      </w:r>
    </w:p>
    <w:p w14:paraId="3020FBC4" w14:textId="77777777" w:rsidR="002F4DB8" w:rsidRDefault="00262CD4" w:rsidP="002F4DB8">
      <w:r>
        <w:t xml:space="preserve">      </w:t>
      </w:r>
      <w:r w:rsidR="002F4DB8">
        <w:t xml:space="preserve">This bill temporarily allows casino licensees, </w:t>
      </w:r>
      <w:r w:rsidR="002F4DB8" w:rsidRPr="003D200A">
        <w:t xml:space="preserve">during the </w:t>
      </w:r>
      <w:r w:rsidR="00106C32">
        <w:t>24</w:t>
      </w:r>
      <w:r w:rsidR="002F4DB8" w:rsidRPr="003D200A">
        <w:t xml:space="preserve">-month period commencing on the </w:t>
      </w:r>
      <w:r w:rsidR="00106C32">
        <w:t>first day of the calendar month following the effective date of the bill</w:t>
      </w:r>
      <w:r w:rsidR="002F4DB8">
        <w:t>,</w:t>
      </w:r>
      <w:r w:rsidR="002F4DB8" w:rsidRPr="003D200A">
        <w:t xml:space="preserve"> to receive a monthly deduction from gross revenue</w:t>
      </w:r>
      <w:r w:rsidR="002F4DB8">
        <w:t xml:space="preserve">s taxed </w:t>
      </w:r>
      <w:r w:rsidR="002F4DB8" w:rsidRPr="003D200A">
        <w:t xml:space="preserve">in an amount equal to the full amount of promotional gaming credits, including match play coupons and table game wager coupons, reported each month by that licensee. </w:t>
      </w:r>
    </w:p>
    <w:p w14:paraId="7C675CCD" w14:textId="77777777" w:rsidR="00006CB4" w:rsidRDefault="00262CD4" w:rsidP="00006CB4">
      <w:r>
        <w:t xml:space="preserve">      </w:t>
      </w:r>
      <w:r w:rsidR="002F4DB8">
        <w:t>The bill prohibits a casino operator from using</w:t>
      </w:r>
      <w:r w:rsidR="002F4DB8" w:rsidRPr="00953A96">
        <w:t xml:space="preserve"> funds or savings resulting from </w:t>
      </w:r>
      <w:r w:rsidR="002F4DB8">
        <w:t xml:space="preserve">this bill </w:t>
      </w:r>
      <w:r w:rsidR="002F4DB8" w:rsidRPr="00953A96">
        <w:t>to repurchase stock or stock options, or to provide for bonuses for any officer or employee</w:t>
      </w:r>
      <w:r w:rsidR="002F4DB8">
        <w:t xml:space="preserve">.  </w:t>
      </w:r>
      <w:r w:rsidR="00006CB4">
        <w:t>This bill does not impact any casino licensee’s tax liabilities on gross revenues realized from casino simulcasting, internet gaming, or sports wagering.</w:t>
      </w:r>
    </w:p>
    <w:p w14:paraId="24601312" w14:textId="77777777" w:rsidR="00006CB4" w:rsidRDefault="00262CD4" w:rsidP="00E81762">
      <w:r>
        <w:t xml:space="preserve">      </w:t>
      </w:r>
      <w:r w:rsidR="00006CB4">
        <w:t xml:space="preserve">The bill requires that for </w:t>
      </w:r>
      <w:r w:rsidR="00006CB4" w:rsidRPr="0077678D">
        <w:t>State Fiscal Year</w:t>
      </w:r>
      <w:r w:rsidR="00CF081D">
        <w:t>s</w:t>
      </w:r>
      <w:r w:rsidR="00006CB4" w:rsidRPr="0077678D">
        <w:t xml:space="preserve"> 2021</w:t>
      </w:r>
      <w:r w:rsidR="00CF081D">
        <w:t xml:space="preserve"> and 2022</w:t>
      </w:r>
      <w:r w:rsidR="00006CB4" w:rsidRPr="0077678D">
        <w:t xml:space="preserve">, appropriations to the </w:t>
      </w:r>
      <w:r w:rsidR="00006CB4">
        <w:t>New Jersey Transit Corporation</w:t>
      </w:r>
      <w:r w:rsidR="00006CB4" w:rsidRPr="0077678D">
        <w:t xml:space="preserve"> from the revenues deposited in the Casino Revenue Fund</w:t>
      </w:r>
      <w:r w:rsidR="00F10E5D">
        <w:t xml:space="preserve"> (CRF)</w:t>
      </w:r>
      <w:r w:rsidR="00006CB4" w:rsidRPr="0077678D">
        <w:t xml:space="preserve"> shall be given priority to ensure that the corporation receives an amount equal to 8.5% of the revenues deposited in the fund during the State Fiscal Year 2019, as determined by the State Treasurer, to effectuate the purposes and provisions of P.L.1983, c.578 (C.27:25-25 et seq.).</w:t>
      </w:r>
    </w:p>
    <w:p w14:paraId="14C850EA"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63D4DD66"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783E7B53" w14:textId="77777777" w:rsidR="00006CB4" w:rsidRDefault="00006CB4" w:rsidP="00006CB4">
      <w:pPr>
        <w:pStyle w:val="SectionHeading"/>
        <w:tabs>
          <w:tab w:val="left" w:pos="360"/>
          <w:tab w:val="left" w:pos="720"/>
          <w:tab w:val="left" w:pos="1440"/>
          <w:tab w:val="left" w:pos="2160"/>
          <w:tab w:val="left" w:pos="2880"/>
          <w:tab w:val="left" w:pos="3600"/>
          <w:tab w:val="left" w:pos="4320"/>
          <w:tab w:val="left" w:pos="5040"/>
        </w:tabs>
      </w:pPr>
      <w:r>
        <w:t>FISCAL ANALYSIS</w:t>
      </w:r>
    </w:p>
    <w:p w14:paraId="100E273A"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0A038A28" w14:textId="77777777" w:rsidR="00006CB4" w:rsidRDefault="00006CB4" w:rsidP="00006CB4">
      <w:pPr>
        <w:pStyle w:val="InterSectionHeading"/>
        <w:tabs>
          <w:tab w:val="left" w:pos="720"/>
          <w:tab w:val="left" w:pos="1440"/>
          <w:tab w:val="left" w:pos="2160"/>
          <w:tab w:val="left" w:pos="2880"/>
          <w:tab w:val="left" w:pos="3600"/>
          <w:tab w:val="left" w:pos="4320"/>
          <w:tab w:val="left" w:pos="5040"/>
        </w:tabs>
      </w:pPr>
      <w:r>
        <w:t>EXECUTIVE BRANCH</w:t>
      </w:r>
    </w:p>
    <w:p w14:paraId="44D7C8D8"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2540D5AB" w14:textId="77777777" w:rsidR="00006CB4" w:rsidRDefault="00006CB4" w:rsidP="00006CB4">
      <w:pPr>
        <w:tabs>
          <w:tab w:val="left" w:pos="360"/>
          <w:tab w:val="left" w:pos="720"/>
          <w:tab w:val="left" w:pos="1440"/>
          <w:tab w:val="left" w:pos="2160"/>
          <w:tab w:val="left" w:pos="2880"/>
          <w:tab w:val="left" w:pos="3600"/>
          <w:tab w:val="left" w:pos="4320"/>
          <w:tab w:val="left" w:pos="5040"/>
        </w:tabs>
      </w:pPr>
      <w:r>
        <w:tab/>
        <w:t>None received.</w:t>
      </w:r>
    </w:p>
    <w:p w14:paraId="4351DABC" w14:textId="77777777" w:rsidR="009A12D6" w:rsidRDefault="009A12D6" w:rsidP="00006CB4">
      <w:pPr>
        <w:tabs>
          <w:tab w:val="left" w:pos="360"/>
          <w:tab w:val="left" w:pos="720"/>
          <w:tab w:val="left" w:pos="1440"/>
          <w:tab w:val="left" w:pos="2160"/>
          <w:tab w:val="left" w:pos="2880"/>
          <w:tab w:val="left" w:pos="3600"/>
          <w:tab w:val="left" w:pos="4320"/>
          <w:tab w:val="left" w:pos="5040"/>
        </w:tabs>
      </w:pPr>
    </w:p>
    <w:p w14:paraId="3641416E"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0077D85B" w14:textId="77777777" w:rsidR="00006CB4" w:rsidRDefault="00006CB4" w:rsidP="00006CB4">
      <w:pPr>
        <w:pStyle w:val="InterSectionHeading"/>
        <w:tabs>
          <w:tab w:val="left" w:pos="720"/>
          <w:tab w:val="left" w:pos="1440"/>
          <w:tab w:val="left" w:pos="2160"/>
          <w:tab w:val="left" w:pos="2880"/>
          <w:tab w:val="left" w:pos="3600"/>
          <w:tab w:val="left" w:pos="4320"/>
          <w:tab w:val="left" w:pos="5040"/>
        </w:tabs>
      </w:pPr>
      <w:r>
        <w:t>OFFICE OF LEGISLATIVE SERVICES</w:t>
      </w:r>
    </w:p>
    <w:p w14:paraId="10B3C1CD" w14:textId="77777777" w:rsidR="00006CB4" w:rsidRDefault="00006CB4" w:rsidP="00006CB4">
      <w:pPr>
        <w:tabs>
          <w:tab w:val="left" w:pos="360"/>
          <w:tab w:val="left" w:pos="720"/>
          <w:tab w:val="left" w:pos="1440"/>
          <w:tab w:val="left" w:pos="2160"/>
          <w:tab w:val="left" w:pos="2880"/>
          <w:tab w:val="left" w:pos="3600"/>
          <w:tab w:val="left" w:pos="4320"/>
          <w:tab w:val="left" w:pos="5040"/>
        </w:tabs>
      </w:pPr>
    </w:p>
    <w:p w14:paraId="5B1E856D" w14:textId="77777777" w:rsidR="00006CB4" w:rsidRDefault="00006CB4" w:rsidP="00006CB4">
      <w:pPr>
        <w:tabs>
          <w:tab w:val="left" w:pos="360"/>
          <w:tab w:val="left" w:pos="720"/>
          <w:tab w:val="left" w:pos="1440"/>
          <w:tab w:val="left" w:pos="2160"/>
          <w:tab w:val="left" w:pos="2880"/>
          <w:tab w:val="left" w:pos="3600"/>
          <w:tab w:val="left" w:pos="4320"/>
          <w:tab w:val="left" w:pos="5040"/>
        </w:tabs>
      </w:pPr>
      <w:r>
        <w:tab/>
        <w:t>The OLS estimat</w:t>
      </w:r>
      <w:r w:rsidR="004F77B0">
        <w:t>es that this bill could reduce FY 2022 revenues by $56.</w:t>
      </w:r>
      <w:r w:rsidR="00B85AB5">
        <w:t>1</w:t>
      </w:r>
      <w:r w:rsidR="004F77B0">
        <w:t xml:space="preserve"> million to</w:t>
      </w:r>
      <w:r w:rsidR="00B85AB5">
        <w:t xml:space="preserve"> $97.3</w:t>
      </w:r>
      <w:r w:rsidR="004F77B0">
        <w:t xml:space="preserve"> million and FY 2023 revenues by </w:t>
      </w:r>
      <w:r w:rsidR="00B85AB5">
        <w:t>at least $7.2</w:t>
      </w:r>
      <w:r w:rsidR="00426406">
        <w:t xml:space="preserve"> million.  The bill may </w:t>
      </w:r>
      <w:r w:rsidR="00B85AB5">
        <w:t xml:space="preserve">also </w:t>
      </w:r>
      <w:r w:rsidR="00426406">
        <w:t xml:space="preserve">shift </w:t>
      </w:r>
      <w:r>
        <w:t>revenue</w:t>
      </w:r>
      <w:r w:rsidR="00B85AB5">
        <w:t xml:space="preserve"> from FY 2022 to FY 2023 by a negligible amount depending upon when the bill is enacted.</w:t>
      </w:r>
      <w:r w:rsidR="00233789">
        <w:t xml:space="preserve">  </w:t>
      </w:r>
      <w:r w:rsidR="00233789" w:rsidRPr="00233789">
        <w:t>The OLS notes that the fees deferred and waived by the bill are likely used, at least in part, to satisfy debt service and operational costs.  The CRDA may have to utilize other sources of funding for debt service and operations that are traditionally covered by those fees.</w:t>
      </w:r>
    </w:p>
    <w:p w14:paraId="3CF19588" w14:textId="4057651B" w:rsidR="00CC3AA2" w:rsidRDefault="00CC3AA2">
      <w:pPr>
        <w:spacing w:line="240" w:lineRule="auto"/>
        <w:jc w:val="left"/>
      </w:pPr>
      <w:r>
        <w:br w:type="page"/>
      </w:r>
    </w:p>
    <w:p w14:paraId="1B0245FF" w14:textId="77777777" w:rsidR="00233789" w:rsidRPr="00233789" w:rsidRDefault="00233789" w:rsidP="00006CB4">
      <w:pPr>
        <w:tabs>
          <w:tab w:val="left" w:pos="360"/>
          <w:tab w:val="left" w:pos="720"/>
          <w:tab w:val="left" w:pos="1440"/>
          <w:tab w:val="left" w:pos="2160"/>
          <w:tab w:val="left" w:pos="2880"/>
          <w:tab w:val="left" w:pos="3600"/>
          <w:tab w:val="left" w:pos="4320"/>
          <w:tab w:val="left" w:pos="5040"/>
        </w:tabs>
        <w:rPr>
          <w:i/>
        </w:rPr>
      </w:pPr>
      <w:r>
        <w:rPr>
          <w:i/>
        </w:rPr>
        <w:lastRenderedPageBreak/>
        <w:t>Licensing and Other Fee Deferrals and Waivers</w:t>
      </w:r>
    </w:p>
    <w:p w14:paraId="4143F4F8" w14:textId="15430760" w:rsidR="00006CB4" w:rsidRDefault="00006CB4" w:rsidP="00006CB4">
      <w:pPr>
        <w:tabs>
          <w:tab w:val="left" w:pos="360"/>
          <w:tab w:val="left" w:pos="720"/>
          <w:tab w:val="left" w:pos="1440"/>
          <w:tab w:val="left" w:pos="2160"/>
          <w:tab w:val="left" w:pos="2880"/>
          <w:tab w:val="left" w:pos="3600"/>
          <w:tab w:val="left" w:pos="4320"/>
          <w:tab w:val="left" w:pos="5040"/>
        </w:tabs>
      </w:pPr>
      <w:r>
        <w:tab/>
        <w:t xml:space="preserve">Based on the State’s Comprehensive Annual Financial Report for FY </w:t>
      </w:r>
      <w:r w:rsidR="000071F5">
        <w:t>2020</w:t>
      </w:r>
      <w:r>
        <w:t>, the CCF had total revenues of $</w:t>
      </w:r>
      <w:r w:rsidR="000071F5">
        <w:t>50.3</w:t>
      </w:r>
      <w:r>
        <w:t xml:space="preserve"> million from licenses and fees.  With a few exceptions, the bill defers</w:t>
      </w:r>
      <w:r w:rsidR="002F4DB8">
        <w:t xml:space="preserve"> or </w:t>
      </w:r>
      <w:r w:rsidR="004F77B0">
        <w:t>waives</w:t>
      </w:r>
      <w:r>
        <w:t xml:space="preserve"> the payment of licensing and other fees that impact the CRDA, CCF, and CRF.  This deferment is set to last for six months following the </w:t>
      </w:r>
      <w:r w:rsidR="00806D9B">
        <w:t>effective date of the bill</w:t>
      </w:r>
      <w:r>
        <w:t xml:space="preserve">.  </w:t>
      </w:r>
      <w:r w:rsidR="00806D9B">
        <w:t>F</w:t>
      </w:r>
      <w:r>
        <w:t>or most fees, each casino licensee would have to pay back the deferred amounts over a 12-mo</w:t>
      </w:r>
      <w:r w:rsidR="002F4DB8">
        <w:t>nth period.  Thus, the bill could</w:t>
      </w:r>
      <w:r>
        <w:t xml:space="preserve"> shift, at least in part, revenue f</w:t>
      </w:r>
      <w:r w:rsidR="000C2371">
        <w:t xml:space="preserve">rom casino licenses and fees </w:t>
      </w:r>
      <w:r w:rsidR="002F4DB8">
        <w:t>to</w:t>
      </w:r>
      <w:r>
        <w:t xml:space="preserve"> FY 202</w:t>
      </w:r>
      <w:r w:rsidR="00806D9B">
        <w:t>3</w:t>
      </w:r>
      <w:r>
        <w:t xml:space="preserve"> </w:t>
      </w:r>
      <w:r w:rsidR="002F4DB8">
        <w:t>de</w:t>
      </w:r>
      <w:r>
        <w:t xml:space="preserve">pending on </w:t>
      </w:r>
      <w:r w:rsidR="00806D9B">
        <w:t>when the bill is enacted</w:t>
      </w:r>
      <w:r>
        <w:t>.</w:t>
      </w:r>
    </w:p>
    <w:p w14:paraId="6719A3CF" w14:textId="77777777" w:rsidR="00006CB4" w:rsidRDefault="00006CB4" w:rsidP="00006CB4">
      <w:pPr>
        <w:tabs>
          <w:tab w:val="left" w:pos="360"/>
          <w:tab w:val="left" w:pos="720"/>
          <w:tab w:val="left" w:pos="1440"/>
          <w:tab w:val="left" w:pos="2160"/>
          <w:tab w:val="left" w:pos="2880"/>
          <w:tab w:val="left" w:pos="3600"/>
          <w:tab w:val="left" w:pos="4320"/>
          <w:tab w:val="left" w:pos="5040"/>
        </w:tabs>
      </w:pPr>
      <w:r>
        <w:tab/>
        <w:t xml:space="preserve">The bill </w:t>
      </w:r>
      <w:r w:rsidR="00806D9B">
        <w:t>waives</w:t>
      </w:r>
      <w:r w:rsidR="00D40D51">
        <w:t xml:space="preserve"> the cost of the annual </w:t>
      </w:r>
      <w:r>
        <w:t xml:space="preserve">slot machine </w:t>
      </w:r>
      <w:r w:rsidR="00806D9B">
        <w:t xml:space="preserve">license fee for a 12-month period </w:t>
      </w:r>
      <w:r w:rsidR="00D70CCA">
        <w:t>commencing on the first day of the next calendar month following the effective date of the bill</w:t>
      </w:r>
      <w:r w:rsidR="00806D9B">
        <w:t>.</w:t>
      </w:r>
      <w:r w:rsidR="00D40D51">
        <w:t xml:space="preserve"> </w:t>
      </w:r>
      <w:r w:rsidR="0028182E">
        <w:t xml:space="preserve">The OLS notes </w:t>
      </w:r>
      <w:r w:rsidR="00BC009A">
        <w:t xml:space="preserve">that the FY 2022 Governor’s Budget Message includes an estimate of </w:t>
      </w:r>
      <w:r w:rsidR="006A07F9">
        <w:t xml:space="preserve">17,767 slot machine licenses </w:t>
      </w:r>
      <w:r w:rsidR="00BC009A">
        <w:t>in FY 2022.  At a cost of $500 per annual license, the projected one-time revenue loss is $8.9 million for FY 2022.</w:t>
      </w:r>
    </w:p>
    <w:p w14:paraId="5DAE349C" w14:textId="77777777" w:rsidR="004F77B0" w:rsidRDefault="004F77B0" w:rsidP="00006CB4">
      <w:pPr>
        <w:tabs>
          <w:tab w:val="left" w:pos="360"/>
          <w:tab w:val="left" w:pos="720"/>
          <w:tab w:val="left" w:pos="1440"/>
          <w:tab w:val="left" w:pos="2160"/>
          <w:tab w:val="left" w:pos="2880"/>
          <w:tab w:val="left" w:pos="3600"/>
          <w:tab w:val="left" w:pos="4320"/>
          <w:tab w:val="left" w:pos="5040"/>
        </w:tabs>
      </w:pPr>
    </w:p>
    <w:p w14:paraId="7F251A89" w14:textId="77777777" w:rsidR="004F77B0" w:rsidRPr="004F77B0" w:rsidRDefault="004F77B0" w:rsidP="00006CB4">
      <w:pPr>
        <w:tabs>
          <w:tab w:val="left" w:pos="360"/>
          <w:tab w:val="left" w:pos="720"/>
          <w:tab w:val="left" w:pos="1440"/>
          <w:tab w:val="left" w:pos="2160"/>
          <w:tab w:val="left" w:pos="2880"/>
          <w:tab w:val="left" w:pos="3600"/>
          <w:tab w:val="left" w:pos="4320"/>
          <w:tab w:val="left" w:pos="5040"/>
        </w:tabs>
        <w:rPr>
          <w:i/>
        </w:rPr>
      </w:pPr>
      <w:r>
        <w:rPr>
          <w:i/>
        </w:rPr>
        <w:t>Alternative Gross Revenue Tax Calculation</w:t>
      </w:r>
    </w:p>
    <w:p w14:paraId="4D78001E" w14:textId="77777777" w:rsidR="00E27C54" w:rsidRDefault="00006CB4" w:rsidP="00006CB4">
      <w:pPr>
        <w:tabs>
          <w:tab w:val="left" w:pos="360"/>
          <w:tab w:val="left" w:pos="720"/>
          <w:tab w:val="left" w:pos="1440"/>
          <w:tab w:val="left" w:pos="2160"/>
          <w:tab w:val="left" w:pos="2880"/>
          <w:tab w:val="left" w:pos="3600"/>
          <w:tab w:val="left" w:pos="4320"/>
          <w:tab w:val="left" w:pos="5040"/>
        </w:tabs>
      </w:pPr>
      <w:r>
        <w:tab/>
        <w:t>The bill prescribes a new formula for the calculation of a casino’s eight percent tax liability on gross revenue</w:t>
      </w:r>
      <w:r w:rsidR="0023458E">
        <w:t>s</w:t>
      </w:r>
      <w:r>
        <w:t xml:space="preserve"> </w:t>
      </w:r>
      <w:r w:rsidR="00E27C54">
        <w:t xml:space="preserve">for a 12-month period </w:t>
      </w:r>
      <w:r w:rsidR="00D70CCA">
        <w:t>commencing on the first day of the next calendar month following the effective date of the bill</w:t>
      </w:r>
      <w:r w:rsidR="00E27C54">
        <w:t xml:space="preserve">.  </w:t>
      </w:r>
      <w:r w:rsidR="00E27C54" w:rsidRPr="00E27C54">
        <w:t xml:space="preserve">Based on monthly press releases </w:t>
      </w:r>
      <w:r w:rsidR="00CC0D08">
        <w:t>published</w:t>
      </w:r>
      <w:r w:rsidR="00E27C54" w:rsidRPr="00E27C54">
        <w:t xml:space="preserve"> by the D</w:t>
      </w:r>
      <w:r w:rsidR="00CC0D08">
        <w:t>ivision of Gaming Enforcement, gross r</w:t>
      </w:r>
      <w:r w:rsidR="00E27C54" w:rsidRPr="00E27C54">
        <w:t xml:space="preserve">evenue </w:t>
      </w:r>
      <w:r w:rsidR="00CC0D08">
        <w:t>t</w:t>
      </w:r>
      <w:r w:rsidR="00E27C54" w:rsidRPr="00E27C54">
        <w:t>ax collections between March 2019 and February 2020 totaled $194.0 million across all licens</w:t>
      </w:r>
      <w:r w:rsidR="00CC0D08">
        <w:t>ees.  This amount was based on c</w:t>
      </w:r>
      <w:r w:rsidR="00E27C54" w:rsidRPr="00E27C54">
        <w:t xml:space="preserve">asino </w:t>
      </w:r>
      <w:r w:rsidR="00CC0D08">
        <w:t>w</w:t>
      </w:r>
      <w:r w:rsidR="00E27C54" w:rsidRPr="00E27C54">
        <w:t>in totaling $2.</w:t>
      </w:r>
      <w:r w:rsidR="00CC0D08">
        <w:t>7 billion in that same period.</w:t>
      </w:r>
    </w:p>
    <w:p w14:paraId="0FA94C9A" w14:textId="0FE05A07" w:rsidR="00006CB4" w:rsidRDefault="00E27C54" w:rsidP="00006CB4">
      <w:pPr>
        <w:tabs>
          <w:tab w:val="left" w:pos="360"/>
          <w:tab w:val="left" w:pos="720"/>
          <w:tab w:val="left" w:pos="1440"/>
          <w:tab w:val="left" w:pos="2160"/>
          <w:tab w:val="left" w:pos="2880"/>
          <w:tab w:val="left" w:pos="3600"/>
          <w:tab w:val="left" w:pos="4320"/>
          <w:tab w:val="left" w:pos="5040"/>
        </w:tabs>
      </w:pPr>
      <w:r>
        <w:tab/>
      </w:r>
      <w:r w:rsidRPr="00E27C54">
        <w:t xml:space="preserve">Based on casino win and tax revenue performance in January 2021 and February 2021, </w:t>
      </w:r>
      <w:r>
        <w:t xml:space="preserve">the OLS attempted to </w:t>
      </w:r>
      <w:r w:rsidR="00CC0D08">
        <w:t>project</w:t>
      </w:r>
      <w:r w:rsidRPr="00E27C54">
        <w:t xml:space="preserve"> how the </w:t>
      </w:r>
      <w:r w:rsidR="00CC0D08">
        <w:t>bill's tax liability reduction c</w:t>
      </w:r>
      <w:r w:rsidRPr="00E27C54">
        <w:t xml:space="preserve">ould affect revenues.  Total tax revenue in January 2021 was $11.2 million and $10.4 million in February 2021 compared to $13.6 million in January 2020 and $15.6 million in February 2020.  The calculation prescribed in the bill would have </w:t>
      </w:r>
      <w:r w:rsidR="00FE3149">
        <w:t xml:space="preserve">likely </w:t>
      </w:r>
      <w:r w:rsidR="006A07F9">
        <w:t>allowed</w:t>
      </w:r>
      <w:r w:rsidRPr="00E27C54">
        <w:t xml:space="preserve"> reductions of</w:t>
      </w:r>
      <w:r w:rsidR="0018279F">
        <w:t xml:space="preserve"> 25 to</w:t>
      </w:r>
      <w:r w:rsidRPr="00E27C54">
        <w:t xml:space="preserve"> </w:t>
      </w:r>
      <w:r>
        <w:t>50 percent</w:t>
      </w:r>
      <w:r w:rsidR="00FE3149">
        <w:t xml:space="preserve"> for most casinos</w:t>
      </w:r>
      <w:r w:rsidR="00F61B4B">
        <w:t>’ gross revenue tax payments</w:t>
      </w:r>
      <w:r w:rsidR="00FE3149">
        <w:t xml:space="preserve">.  </w:t>
      </w:r>
      <w:r w:rsidR="00704F90">
        <w:t xml:space="preserve">A comparison of more recent data from March, April, and May show that the reductions in liability would be closer to 25 percent.  </w:t>
      </w:r>
      <w:r w:rsidR="00FE3149">
        <w:t>A</w:t>
      </w:r>
      <w:r w:rsidRPr="00E27C54">
        <w:t xml:space="preserve">ssuming that </w:t>
      </w:r>
      <w:r w:rsidR="00FE3149">
        <w:t>liability reductions are</w:t>
      </w:r>
      <w:r w:rsidRPr="00E27C54">
        <w:t xml:space="preserve"> </w:t>
      </w:r>
      <w:r w:rsidR="00704F90">
        <w:t xml:space="preserve">25 </w:t>
      </w:r>
      <w:r w:rsidR="00CC0D08">
        <w:t>percent</w:t>
      </w:r>
      <w:r w:rsidR="00FE3149">
        <w:t xml:space="preserve"> for a full fiscal year, the revenue loss would be $</w:t>
      </w:r>
      <w:r w:rsidR="00704F90">
        <w:t>40.7</w:t>
      </w:r>
      <w:r w:rsidR="00FE3149">
        <w:t xml:space="preserve"> million in FY 2022 based on the Executive’s FY 2022 gross revenue tax estimate</w:t>
      </w:r>
      <w:r w:rsidR="00284538">
        <w:t xml:space="preserve"> of $162.7 million</w:t>
      </w:r>
      <w:r w:rsidRPr="00E27C54">
        <w:t>.</w:t>
      </w:r>
      <w:r w:rsidR="00FE3149">
        <w:t xml:space="preserve">  If the liability reductions were </w:t>
      </w:r>
      <w:r w:rsidR="00704F90">
        <w:t xml:space="preserve">50 </w:t>
      </w:r>
      <w:r w:rsidR="00FE3149">
        <w:t xml:space="preserve">percent, </w:t>
      </w:r>
      <w:r w:rsidR="00284538">
        <w:t>the revenue loss would be $</w:t>
      </w:r>
      <w:r w:rsidR="00704F90">
        <w:t>81.4</w:t>
      </w:r>
      <w:r w:rsidR="00FE3149">
        <w:t xml:space="preserve"> million for FY 2022.</w:t>
      </w:r>
    </w:p>
    <w:p w14:paraId="6CEC7148" w14:textId="77777777" w:rsidR="004F77B0" w:rsidRDefault="004F77B0" w:rsidP="00006CB4">
      <w:pPr>
        <w:tabs>
          <w:tab w:val="left" w:pos="360"/>
          <w:tab w:val="left" w:pos="720"/>
          <w:tab w:val="left" w:pos="1440"/>
          <w:tab w:val="left" w:pos="2160"/>
          <w:tab w:val="left" w:pos="2880"/>
          <w:tab w:val="left" w:pos="3600"/>
          <w:tab w:val="left" w:pos="4320"/>
          <w:tab w:val="left" w:pos="5040"/>
        </w:tabs>
      </w:pPr>
    </w:p>
    <w:p w14:paraId="45C2BFFB" w14:textId="77777777" w:rsidR="004F77B0" w:rsidRPr="004F77B0" w:rsidRDefault="004F77B0" w:rsidP="00006CB4">
      <w:pPr>
        <w:tabs>
          <w:tab w:val="left" w:pos="360"/>
          <w:tab w:val="left" w:pos="720"/>
          <w:tab w:val="left" w:pos="1440"/>
          <w:tab w:val="left" w:pos="2160"/>
          <w:tab w:val="left" w:pos="2880"/>
          <w:tab w:val="left" w:pos="3600"/>
          <w:tab w:val="left" w:pos="4320"/>
          <w:tab w:val="left" w:pos="5040"/>
        </w:tabs>
        <w:rPr>
          <w:i/>
        </w:rPr>
      </w:pPr>
      <w:r>
        <w:rPr>
          <w:i/>
        </w:rPr>
        <w:t>Promotional Gaming Credits</w:t>
      </w:r>
    </w:p>
    <w:p w14:paraId="5B4BDE84" w14:textId="77777777" w:rsidR="00006CB4" w:rsidRDefault="00006CB4" w:rsidP="00006CB4">
      <w:pPr>
        <w:tabs>
          <w:tab w:val="left" w:pos="360"/>
          <w:tab w:val="left" w:pos="720"/>
          <w:tab w:val="left" w:pos="1440"/>
          <w:tab w:val="left" w:pos="2160"/>
          <w:tab w:val="left" w:pos="2880"/>
          <w:tab w:val="left" w:pos="3600"/>
          <w:tab w:val="left" w:pos="4320"/>
          <w:tab w:val="left" w:pos="5040"/>
        </w:tabs>
      </w:pPr>
      <w:r>
        <w:tab/>
        <w:t xml:space="preserve">The bill also modifies and enhances a deduction provided to casino licensees against their gross revenues for </w:t>
      </w:r>
      <w:r w:rsidR="004F77B0">
        <w:t xml:space="preserve">promotional gaming credits.  </w:t>
      </w:r>
      <w:r>
        <w:t>The bill removes the $90</w:t>
      </w:r>
      <w:r w:rsidR="00FE3149">
        <w:t>.0</w:t>
      </w:r>
      <w:r>
        <w:t xml:space="preserve"> million threshold</w:t>
      </w:r>
      <w:r w:rsidR="00FE3149">
        <w:t xml:space="preserve"> for the 24</w:t>
      </w:r>
      <w:r w:rsidR="0028182E">
        <w:t xml:space="preserve">-month period </w:t>
      </w:r>
      <w:r w:rsidR="00FE3149">
        <w:t xml:space="preserve">commencing on the first day of the next calendar month following the effective date of the bill.  </w:t>
      </w:r>
      <w:r w:rsidR="00FE3149" w:rsidRPr="00FE3149">
        <w:t>Essentially, $180</w:t>
      </w:r>
      <w:r w:rsidR="00FE3149">
        <w:t>.0</w:t>
      </w:r>
      <w:r w:rsidR="00FE3149" w:rsidRPr="00FE3149">
        <w:t xml:space="preserve"> million in promotional gaming credits would no longer be taxable pur</w:t>
      </w:r>
      <w:r w:rsidR="00DE2D37">
        <w:t>suant to this section.  At the eight</w:t>
      </w:r>
      <w:r w:rsidR="00FE3149">
        <w:t xml:space="preserve"> percent</w:t>
      </w:r>
      <w:r w:rsidR="00FE3149" w:rsidRPr="00FE3149">
        <w:t xml:space="preserve"> </w:t>
      </w:r>
      <w:r w:rsidR="00FE3149">
        <w:t>g</w:t>
      </w:r>
      <w:r w:rsidR="00FE3149" w:rsidRPr="00FE3149">
        <w:t xml:space="preserve">ross </w:t>
      </w:r>
      <w:r w:rsidR="00FE3149">
        <w:t>revenue t</w:t>
      </w:r>
      <w:r w:rsidR="00FE3149" w:rsidRPr="00FE3149">
        <w:t>ax rate, this w</w:t>
      </w:r>
      <w:r w:rsidR="00DE2D37">
        <w:t>ill</w:t>
      </w:r>
      <w:r w:rsidR="00FE3149" w:rsidRPr="00FE3149">
        <w:t xml:space="preserve"> reduce revenues by $14.4 million over two years.  </w:t>
      </w:r>
      <w:r>
        <w:t xml:space="preserve">In addition to promotional gaming credits, casino licensees will also </w:t>
      </w:r>
      <w:r w:rsidR="00C0592C">
        <w:t xml:space="preserve">be </w:t>
      </w:r>
      <w:r w:rsidR="004F77B0">
        <w:t xml:space="preserve">temporarily </w:t>
      </w:r>
      <w:r w:rsidR="00C0592C">
        <w:t>allowed to</w:t>
      </w:r>
      <w:r w:rsidR="009A752D">
        <w:t xml:space="preserve"> </w:t>
      </w:r>
      <w:r>
        <w:t>deduct match play coupons and table game wager co</w:t>
      </w:r>
      <w:r w:rsidR="00DE2D37">
        <w:t xml:space="preserve">upons because of the bill, which will further reduce revenues. </w:t>
      </w:r>
      <w:r>
        <w:t xml:space="preserve">  </w:t>
      </w:r>
    </w:p>
    <w:p w14:paraId="08A46218" w14:textId="77777777" w:rsidR="000F44CC" w:rsidRDefault="000F44CC" w:rsidP="00006CB4"/>
    <w:p w14:paraId="08C52DBE" w14:textId="77777777" w:rsidR="00006CB4" w:rsidRDefault="00006CB4" w:rsidP="00006CB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06CB4" w14:paraId="44BCE2F2" w14:textId="77777777" w:rsidTr="00DD515E">
        <w:trPr>
          <w:trHeight w:val="403"/>
        </w:trPr>
        <w:tc>
          <w:tcPr>
            <w:tcW w:w="1260" w:type="dxa"/>
            <w:tcBorders>
              <w:top w:val="nil"/>
              <w:left w:val="nil"/>
              <w:bottom w:val="nil"/>
              <w:right w:val="nil"/>
            </w:tcBorders>
          </w:tcPr>
          <w:p w14:paraId="21D1F9E3" w14:textId="77777777" w:rsidR="00006CB4" w:rsidRDefault="00006CB4" w:rsidP="00DD515E">
            <w:pPr>
              <w:pStyle w:val="10pointItalics"/>
              <w:rPr>
                <w:sz w:val="24"/>
              </w:rPr>
            </w:pPr>
            <w:r>
              <w:t>Section:</w:t>
            </w:r>
          </w:p>
        </w:tc>
        <w:tc>
          <w:tcPr>
            <w:tcW w:w="8100" w:type="dxa"/>
            <w:tcBorders>
              <w:top w:val="nil"/>
              <w:left w:val="nil"/>
              <w:bottom w:val="nil"/>
              <w:right w:val="nil"/>
            </w:tcBorders>
          </w:tcPr>
          <w:p w14:paraId="0F6C31BD" w14:textId="77777777" w:rsidR="00006CB4" w:rsidRDefault="00006CB4" w:rsidP="00DD515E">
            <w:pPr>
              <w:pStyle w:val="10pointItalics"/>
              <w:rPr>
                <w:sz w:val="24"/>
              </w:rPr>
            </w:pPr>
            <w:r>
              <w:t>Revenue, Finance and Appropriations</w:t>
            </w:r>
          </w:p>
        </w:tc>
      </w:tr>
      <w:tr w:rsidR="00006CB4" w14:paraId="6BE14621" w14:textId="77777777" w:rsidTr="00DD515E">
        <w:trPr>
          <w:trHeight w:val="403"/>
        </w:trPr>
        <w:tc>
          <w:tcPr>
            <w:tcW w:w="1260" w:type="dxa"/>
            <w:tcBorders>
              <w:top w:val="nil"/>
              <w:left w:val="nil"/>
              <w:bottom w:val="nil"/>
              <w:right w:val="nil"/>
            </w:tcBorders>
          </w:tcPr>
          <w:p w14:paraId="1D5B3C1A" w14:textId="77777777" w:rsidR="00006CB4" w:rsidRDefault="00006CB4" w:rsidP="00DD515E">
            <w:pPr>
              <w:pStyle w:val="10pointItalics"/>
              <w:rPr>
                <w:sz w:val="24"/>
              </w:rPr>
            </w:pPr>
            <w:r>
              <w:t>Analyst:</w:t>
            </w:r>
          </w:p>
        </w:tc>
        <w:tc>
          <w:tcPr>
            <w:tcW w:w="8100" w:type="dxa"/>
            <w:tcBorders>
              <w:top w:val="nil"/>
              <w:left w:val="nil"/>
              <w:bottom w:val="nil"/>
              <w:right w:val="nil"/>
            </w:tcBorders>
          </w:tcPr>
          <w:p w14:paraId="501D7149" w14:textId="77777777" w:rsidR="00006CB4" w:rsidRDefault="00006CB4" w:rsidP="00DD515E">
            <w:pPr>
              <w:pStyle w:val="10pointItalics"/>
            </w:pPr>
            <w:bookmarkStart w:id="2" w:name="UserFullName"/>
            <w:bookmarkEnd w:id="2"/>
            <w:r>
              <w:t xml:space="preserve">Jordan M. </w:t>
            </w:r>
            <w:proofErr w:type="spellStart"/>
            <w:r>
              <w:t>DiGiovanni</w:t>
            </w:r>
            <w:proofErr w:type="spellEnd"/>
          </w:p>
          <w:p w14:paraId="148FCE12" w14:textId="77777777" w:rsidR="00006CB4" w:rsidRDefault="00006CB4" w:rsidP="00DD515E">
            <w:pPr>
              <w:pStyle w:val="10pointItalics"/>
              <w:rPr>
                <w:sz w:val="24"/>
              </w:rPr>
            </w:pPr>
            <w:r>
              <w:t>Revenue Analyst</w:t>
            </w:r>
          </w:p>
        </w:tc>
      </w:tr>
      <w:tr w:rsidR="00006CB4" w14:paraId="21F3E6AC" w14:textId="77777777" w:rsidTr="00561CB3">
        <w:trPr>
          <w:trHeight w:val="693"/>
        </w:trPr>
        <w:tc>
          <w:tcPr>
            <w:tcW w:w="1260" w:type="dxa"/>
            <w:tcBorders>
              <w:top w:val="nil"/>
              <w:left w:val="nil"/>
              <w:bottom w:val="nil"/>
              <w:right w:val="nil"/>
            </w:tcBorders>
            <w:tcMar>
              <w:top w:w="72" w:type="dxa"/>
            </w:tcMar>
          </w:tcPr>
          <w:p w14:paraId="3C4C45AB" w14:textId="77777777" w:rsidR="00006CB4" w:rsidRDefault="00006CB4" w:rsidP="00DD515E">
            <w:pPr>
              <w:pStyle w:val="10pointItalics"/>
              <w:rPr>
                <w:sz w:val="24"/>
              </w:rPr>
            </w:pPr>
            <w:r>
              <w:t>Approved:</w:t>
            </w:r>
          </w:p>
        </w:tc>
        <w:tc>
          <w:tcPr>
            <w:tcW w:w="8100" w:type="dxa"/>
            <w:tcBorders>
              <w:top w:val="nil"/>
              <w:left w:val="nil"/>
              <w:bottom w:val="nil"/>
              <w:right w:val="nil"/>
            </w:tcBorders>
            <w:tcMar>
              <w:top w:w="72" w:type="dxa"/>
            </w:tcMar>
          </w:tcPr>
          <w:p w14:paraId="55197754" w14:textId="77777777" w:rsidR="00006CB4" w:rsidRDefault="00DE2D37" w:rsidP="00DD515E">
            <w:pPr>
              <w:pStyle w:val="10pointItalics"/>
            </w:pPr>
            <w:r>
              <w:t>Thomas Koenig</w:t>
            </w:r>
          </w:p>
          <w:p w14:paraId="4D03B2EC" w14:textId="77777777" w:rsidR="00006CB4" w:rsidRDefault="00006CB4" w:rsidP="00DD515E">
            <w:pPr>
              <w:pStyle w:val="10pointItalics"/>
              <w:rPr>
                <w:sz w:val="24"/>
              </w:rPr>
            </w:pPr>
            <w:r>
              <w:t>Legislative Budget and Finance Officer</w:t>
            </w:r>
          </w:p>
        </w:tc>
      </w:tr>
    </w:tbl>
    <w:p w14:paraId="6D3B5203" w14:textId="6B861A53" w:rsidR="00CC3AA2" w:rsidRDefault="00CC3AA2">
      <w:pPr>
        <w:spacing w:line="240" w:lineRule="auto"/>
        <w:jc w:val="left"/>
      </w:pPr>
      <w:r>
        <w:br w:type="page"/>
      </w:r>
    </w:p>
    <w:p w14:paraId="3899C943" w14:textId="77777777" w:rsidR="00006CB4" w:rsidRDefault="00006CB4" w:rsidP="00006CB4">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14:paraId="7ECAD1CD" w14:textId="77777777" w:rsidR="00561CB3" w:rsidRDefault="00561CB3" w:rsidP="00006CB4">
      <w:pPr>
        <w:tabs>
          <w:tab w:val="left" w:pos="360"/>
          <w:tab w:val="left" w:pos="720"/>
          <w:tab w:val="left" w:pos="1440"/>
          <w:tab w:val="left" w:pos="2160"/>
          <w:tab w:val="left" w:pos="2880"/>
          <w:tab w:val="left" w:pos="3600"/>
          <w:tab w:val="left" w:pos="4320"/>
          <w:tab w:val="left" w:pos="5040"/>
        </w:tabs>
      </w:pPr>
    </w:p>
    <w:p w14:paraId="406033AC" w14:textId="3CAAD50C" w:rsidR="00EF17BC" w:rsidRDefault="00006CB4"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A6085B">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1C1FD" w14:textId="77777777" w:rsidR="0025355B" w:rsidRDefault="0025355B">
      <w:r>
        <w:separator/>
      </w:r>
    </w:p>
  </w:endnote>
  <w:endnote w:type="continuationSeparator" w:id="0">
    <w:p w14:paraId="7BF92405" w14:textId="77777777" w:rsidR="0025355B" w:rsidRDefault="00253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1E544D2D" w14:textId="77777777">
      <w:trPr>
        <w:trHeight w:hRule="exact" w:val="144"/>
      </w:trPr>
      <w:tc>
        <w:tcPr>
          <w:tcW w:w="3084" w:type="dxa"/>
          <w:tcBorders>
            <w:bottom w:val="single" w:sz="12" w:space="0" w:color="auto"/>
          </w:tcBorders>
        </w:tcPr>
        <w:p w14:paraId="742506FD" w14:textId="77777777" w:rsidR="00E042C5" w:rsidRDefault="00E042C5" w:rsidP="001106B5">
          <w:pPr>
            <w:pStyle w:val="10pointItalics"/>
          </w:pPr>
        </w:p>
      </w:tc>
      <w:tc>
        <w:tcPr>
          <w:tcW w:w="2856" w:type="dxa"/>
          <w:tcBorders>
            <w:bottom w:val="single" w:sz="12" w:space="0" w:color="auto"/>
          </w:tcBorders>
        </w:tcPr>
        <w:p w14:paraId="4B8A05C1" w14:textId="77777777" w:rsidR="00E042C5" w:rsidRPr="001106B5" w:rsidRDefault="00E042C5">
          <w:pPr>
            <w:pStyle w:val="Footer"/>
            <w:rPr>
              <w:noProof/>
              <w:sz w:val="20"/>
              <w:szCs w:val="20"/>
            </w:rPr>
          </w:pPr>
        </w:p>
      </w:tc>
      <w:tc>
        <w:tcPr>
          <w:tcW w:w="3420" w:type="dxa"/>
          <w:tcBorders>
            <w:bottom w:val="single" w:sz="12" w:space="0" w:color="auto"/>
          </w:tcBorders>
        </w:tcPr>
        <w:p w14:paraId="090BA20C" w14:textId="77777777" w:rsidR="00E042C5" w:rsidRDefault="00E042C5" w:rsidP="001106B5">
          <w:pPr>
            <w:pStyle w:val="10pointItalics"/>
          </w:pPr>
        </w:p>
      </w:tc>
    </w:tr>
    <w:tr w:rsidR="00E042C5" w14:paraId="4EAC9A93" w14:textId="77777777">
      <w:trPr>
        <w:trHeight w:val="887"/>
      </w:trPr>
      <w:tc>
        <w:tcPr>
          <w:tcW w:w="3084" w:type="dxa"/>
          <w:tcBorders>
            <w:top w:val="single" w:sz="12" w:space="0" w:color="auto"/>
          </w:tcBorders>
          <w:tcMar>
            <w:top w:w="29" w:type="dxa"/>
            <w:left w:w="115" w:type="dxa"/>
            <w:right w:w="115" w:type="dxa"/>
          </w:tcMar>
          <w:vAlign w:val="bottom"/>
        </w:tcPr>
        <w:p w14:paraId="23216E46" w14:textId="77777777" w:rsidR="00E042C5" w:rsidRDefault="00E042C5" w:rsidP="00125D26">
          <w:pPr>
            <w:pStyle w:val="10pointItalics"/>
            <w:jc w:val="center"/>
          </w:pPr>
          <w:r>
            <w:t>Office of Legislative Services</w:t>
          </w:r>
        </w:p>
        <w:p w14:paraId="54902C60" w14:textId="77777777" w:rsidR="00E042C5" w:rsidRDefault="00E042C5" w:rsidP="00125D26">
          <w:pPr>
            <w:pStyle w:val="10pointItalics"/>
            <w:jc w:val="center"/>
          </w:pPr>
          <w:r>
            <w:t>State House Annex</w:t>
          </w:r>
        </w:p>
        <w:p w14:paraId="3A033A83"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8E8930D"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7D5E1CEE" w14:textId="77777777" w:rsidR="00E042C5" w:rsidRDefault="0011572F">
          <w:pPr>
            <w:pStyle w:val="Footer"/>
          </w:pPr>
          <w:r>
            <w:rPr>
              <w:noProof/>
              <w:sz w:val="20"/>
              <w:szCs w:val="20"/>
            </w:rPr>
            <w:object w:dxaOrig="1440" w:dyaOrig="1440" w14:anchorId="6C821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6053992" r:id="rId2"/>
            </w:object>
          </w:r>
        </w:p>
      </w:tc>
      <w:tc>
        <w:tcPr>
          <w:tcW w:w="3420" w:type="dxa"/>
          <w:tcBorders>
            <w:top w:val="single" w:sz="12" w:space="0" w:color="auto"/>
          </w:tcBorders>
          <w:tcMar>
            <w:top w:w="29" w:type="dxa"/>
            <w:left w:w="115" w:type="dxa"/>
            <w:right w:w="115" w:type="dxa"/>
          </w:tcMar>
          <w:vAlign w:val="bottom"/>
        </w:tcPr>
        <w:p w14:paraId="1E88D40B" w14:textId="77777777" w:rsidR="00E042C5" w:rsidRDefault="00E042C5" w:rsidP="00125D26">
          <w:pPr>
            <w:pStyle w:val="10pointItalics"/>
            <w:jc w:val="center"/>
          </w:pPr>
          <w:r>
            <w:t>Legislative Budget and Finance Office</w:t>
          </w:r>
        </w:p>
        <w:p w14:paraId="023B6DF6" w14:textId="77777777" w:rsidR="00E042C5" w:rsidRDefault="00E042C5" w:rsidP="00125D26">
          <w:pPr>
            <w:pStyle w:val="10pointItalics"/>
            <w:jc w:val="center"/>
          </w:pPr>
          <w:r>
            <w:t>Phone (609) 847-3105</w:t>
          </w:r>
        </w:p>
        <w:p w14:paraId="3CF6202D" w14:textId="77777777" w:rsidR="00E042C5" w:rsidRDefault="00E042C5" w:rsidP="00125D26">
          <w:pPr>
            <w:pStyle w:val="10pointItalics"/>
            <w:jc w:val="center"/>
          </w:pPr>
          <w:r>
            <w:t>Fax (609) 777-2442</w:t>
          </w:r>
        </w:p>
        <w:p w14:paraId="493D45D3" w14:textId="77777777" w:rsidR="00E042C5" w:rsidRDefault="00E042C5" w:rsidP="00125D26">
          <w:pPr>
            <w:pStyle w:val="10pointItalics"/>
            <w:jc w:val="center"/>
          </w:pPr>
          <w:r>
            <w:t>www.njleg.state.nj.us</w:t>
          </w:r>
        </w:p>
      </w:tc>
    </w:tr>
  </w:tbl>
  <w:p w14:paraId="4EB2DAF5"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526C9" w14:textId="77777777" w:rsidR="0025355B" w:rsidRDefault="0025355B">
      <w:r>
        <w:separator/>
      </w:r>
    </w:p>
  </w:footnote>
  <w:footnote w:type="continuationSeparator" w:id="0">
    <w:p w14:paraId="4DC26093" w14:textId="77777777" w:rsidR="0025355B" w:rsidRDefault="00253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59DD8" w14:textId="548F6D55" w:rsidR="0025355B" w:rsidRDefault="0025355B" w:rsidP="0025355B">
    <w:pPr>
      <w:pStyle w:val="Header"/>
      <w:jc w:val="center"/>
    </w:pPr>
    <w:r>
      <w:t>F</w:t>
    </w:r>
    <w:r w:rsidR="00CC3AA2">
      <w:t>E to S</w:t>
    </w:r>
    <w:r w:rsidR="001B6849">
      <w:t>2400 [4</w:t>
    </w:r>
    <w:r>
      <w:t>R]</w:t>
    </w:r>
  </w:p>
  <w:p w14:paraId="41851CAB" w14:textId="2994DD92" w:rsidR="0025355B" w:rsidRDefault="0025355B" w:rsidP="0025355B">
    <w:pPr>
      <w:pStyle w:val="Header"/>
      <w:jc w:val="center"/>
    </w:pPr>
    <w:r>
      <w:fldChar w:fldCharType="begin"/>
    </w:r>
    <w:r>
      <w:instrText xml:space="preserve"> PAGE  \* MERGEFORMAT </w:instrText>
    </w:r>
    <w:r>
      <w:fldChar w:fldCharType="separate"/>
    </w:r>
    <w:r w:rsidR="00310B28">
      <w:rPr>
        <w:noProof/>
      </w:rPr>
      <w:t>4</w:t>
    </w:r>
    <w:r>
      <w:fldChar w:fldCharType="end"/>
    </w:r>
  </w:p>
  <w:p w14:paraId="2AA9A49D" w14:textId="77777777" w:rsidR="0025355B" w:rsidRDefault="0025355B" w:rsidP="002535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55B"/>
    <w:rsid w:val="00006CB4"/>
    <w:rsid w:val="000071F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2371"/>
    <w:rsid w:val="000C50EA"/>
    <w:rsid w:val="000E08DD"/>
    <w:rsid w:val="000E17DB"/>
    <w:rsid w:val="000F0A12"/>
    <w:rsid w:val="000F231D"/>
    <w:rsid w:val="000F278B"/>
    <w:rsid w:val="000F2B57"/>
    <w:rsid w:val="000F44CC"/>
    <w:rsid w:val="00106C32"/>
    <w:rsid w:val="001106B5"/>
    <w:rsid w:val="00114591"/>
    <w:rsid w:val="00115411"/>
    <w:rsid w:val="001223E7"/>
    <w:rsid w:val="00125D26"/>
    <w:rsid w:val="00142AE8"/>
    <w:rsid w:val="00145CE4"/>
    <w:rsid w:val="00157AED"/>
    <w:rsid w:val="00172CF5"/>
    <w:rsid w:val="0018279F"/>
    <w:rsid w:val="001907A1"/>
    <w:rsid w:val="00191247"/>
    <w:rsid w:val="00193C26"/>
    <w:rsid w:val="00194789"/>
    <w:rsid w:val="00197240"/>
    <w:rsid w:val="001B1D4B"/>
    <w:rsid w:val="001B2BA9"/>
    <w:rsid w:val="001B6849"/>
    <w:rsid w:val="001D0C90"/>
    <w:rsid w:val="001D19B4"/>
    <w:rsid w:val="001D3FD4"/>
    <w:rsid w:val="001F39DF"/>
    <w:rsid w:val="001F4F8B"/>
    <w:rsid w:val="00201322"/>
    <w:rsid w:val="00203C53"/>
    <w:rsid w:val="00210E60"/>
    <w:rsid w:val="002116FF"/>
    <w:rsid w:val="00212908"/>
    <w:rsid w:val="00213BE6"/>
    <w:rsid w:val="00213CFF"/>
    <w:rsid w:val="00220166"/>
    <w:rsid w:val="00224437"/>
    <w:rsid w:val="00231207"/>
    <w:rsid w:val="00233789"/>
    <w:rsid w:val="0023458E"/>
    <w:rsid w:val="00234802"/>
    <w:rsid w:val="00241AAD"/>
    <w:rsid w:val="002427E6"/>
    <w:rsid w:val="002451F9"/>
    <w:rsid w:val="002518C8"/>
    <w:rsid w:val="0025355B"/>
    <w:rsid w:val="00255944"/>
    <w:rsid w:val="00261FC7"/>
    <w:rsid w:val="00262CD4"/>
    <w:rsid w:val="00275600"/>
    <w:rsid w:val="0028182E"/>
    <w:rsid w:val="00284538"/>
    <w:rsid w:val="00290E57"/>
    <w:rsid w:val="0029229D"/>
    <w:rsid w:val="002977FC"/>
    <w:rsid w:val="002A15C4"/>
    <w:rsid w:val="002A2F18"/>
    <w:rsid w:val="002A5C0C"/>
    <w:rsid w:val="002B253C"/>
    <w:rsid w:val="002D4307"/>
    <w:rsid w:val="002D68B1"/>
    <w:rsid w:val="002D7381"/>
    <w:rsid w:val="002D7863"/>
    <w:rsid w:val="002E3A30"/>
    <w:rsid w:val="002F4DB8"/>
    <w:rsid w:val="002F5E01"/>
    <w:rsid w:val="00310B2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406"/>
    <w:rsid w:val="00462B8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7B0"/>
    <w:rsid w:val="004F7F49"/>
    <w:rsid w:val="00510A23"/>
    <w:rsid w:val="0051514A"/>
    <w:rsid w:val="00515AC5"/>
    <w:rsid w:val="00520DC2"/>
    <w:rsid w:val="00534DF7"/>
    <w:rsid w:val="00536F40"/>
    <w:rsid w:val="005470F3"/>
    <w:rsid w:val="00561CB3"/>
    <w:rsid w:val="00570997"/>
    <w:rsid w:val="00577AA8"/>
    <w:rsid w:val="005850CE"/>
    <w:rsid w:val="005A6D23"/>
    <w:rsid w:val="005C1947"/>
    <w:rsid w:val="005C1E9D"/>
    <w:rsid w:val="005D6171"/>
    <w:rsid w:val="005E03E7"/>
    <w:rsid w:val="005E75AB"/>
    <w:rsid w:val="00601F73"/>
    <w:rsid w:val="00625D15"/>
    <w:rsid w:val="00632536"/>
    <w:rsid w:val="00651611"/>
    <w:rsid w:val="00653AE2"/>
    <w:rsid w:val="006671C7"/>
    <w:rsid w:val="006917CF"/>
    <w:rsid w:val="00692810"/>
    <w:rsid w:val="00692BD4"/>
    <w:rsid w:val="006A07F9"/>
    <w:rsid w:val="006A0D14"/>
    <w:rsid w:val="006B22F3"/>
    <w:rsid w:val="006B2FD5"/>
    <w:rsid w:val="006B5C2D"/>
    <w:rsid w:val="006B6C16"/>
    <w:rsid w:val="006D6F6C"/>
    <w:rsid w:val="006F239A"/>
    <w:rsid w:val="006F505D"/>
    <w:rsid w:val="006F7203"/>
    <w:rsid w:val="00704F90"/>
    <w:rsid w:val="00722AEF"/>
    <w:rsid w:val="00737A6C"/>
    <w:rsid w:val="00743F01"/>
    <w:rsid w:val="00744AE4"/>
    <w:rsid w:val="00763D60"/>
    <w:rsid w:val="00770EAC"/>
    <w:rsid w:val="007833B1"/>
    <w:rsid w:val="007920AC"/>
    <w:rsid w:val="007A0F7E"/>
    <w:rsid w:val="007A42C5"/>
    <w:rsid w:val="007A65A1"/>
    <w:rsid w:val="007B1FCF"/>
    <w:rsid w:val="007B5F49"/>
    <w:rsid w:val="007C1881"/>
    <w:rsid w:val="007C4620"/>
    <w:rsid w:val="007E337B"/>
    <w:rsid w:val="007E5EB3"/>
    <w:rsid w:val="00804E41"/>
    <w:rsid w:val="00806D9B"/>
    <w:rsid w:val="00811BC0"/>
    <w:rsid w:val="008231E8"/>
    <w:rsid w:val="008266B7"/>
    <w:rsid w:val="00854B89"/>
    <w:rsid w:val="00855555"/>
    <w:rsid w:val="00881EF3"/>
    <w:rsid w:val="00883E7C"/>
    <w:rsid w:val="00886261"/>
    <w:rsid w:val="00894971"/>
    <w:rsid w:val="008C0341"/>
    <w:rsid w:val="008D5731"/>
    <w:rsid w:val="008D6D49"/>
    <w:rsid w:val="008E1349"/>
    <w:rsid w:val="00937A78"/>
    <w:rsid w:val="00947B1E"/>
    <w:rsid w:val="00953C08"/>
    <w:rsid w:val="00973C29"/>
    <w:rsid w:val="0097698F"/>
    <w:rsid w:val="009A12D6"/>
    <w:rsid w:val="009A5EB7"/>
    <w:rsid w:val="009A752D"/>
    <w:rsid w:val="009B14F4"/>
    <w:rsid w:val="009B1B0D"/>
    <w:rsid w:val="009B1C3D"/>
    <w:rsid w:val="009B32DD"/>
    <w:rsid w:val="009C005A"/>
    <w:rsid w:val="009D4BC2"/>
    <w:rsid w:val="009D5E5F"/>
    <w:rsid w:val="009D62B4"/>
    <w:rsid w:val="009E0B0E"/>
    <w:rsid w:val="009E1448"/>
    <w:rsid w:val="009E3E41"/>
    <w:rsid w:val="009F1C59"/>
    <w:rsid w:val="00A05A06"/>
    <w:rsid w:val="00A164F2"/>
    <w:rsid w:val="00A25FFA"/>
    <w:rsid w:val="00A26FCF"/>
    <w:rsid w:val="00A31FA5"/>
    <w:rsid w:val="00A34F8C"/>
    <w:rsid w:val="00A359DA"/>
    <w:rsid w:val="00A367C7"/>
    <w:rsid w:val="00A37886"/>
    <w:rsid w:val="00A6085B"/>
    <w:rsid w:val="00A63176"/>
    <w:rsid w:val="00A70D0C"/>
    <w:rsid w:val="00A778EA"/>
    <w:rsid w:val="00A9794C"/>
    <w:rsid w:val="00AA7C55"/>
    <w:rsid w:val="00AB0440"/>
    <w:rsid w:val="00AC3FC5"/>
    <w:rsid w:val="00AD340B"/>
    <w:rsid w:val="00AE3966"/>
    <w:rsid w:val="00AF11C6"/>
    <w:rsid w:val="00B002D1"/>
    <w:rsid w:val="00B057F1"/>
    <w:rsid w:val="00B143A9"/>
    <w:rsid w:val="00B4569E"/>
    <w:rsid w:val="00B45879"/>
    <w:rsid w:val="00B551EB"/>
    <w:rsid w:val="00B55F3D"/>
    <w:rsid w:val="00B7229D"/>
    <w:rsid w:val="00B84AC8"/>
    <w:rsid w:val="00B85AB5"/>
    <w:rsid w:val="00B90F8C"/>
    <w:rsid w:val="00B91C0B"/>
    <w:rsid w:val="00B95CA9"/>
    <w:rsid w:val="00B97E24"/>
    <w:rsid w:val="00BA0BE6"/>
    <w:rsid w:val="00BA2122"/>
    <w:rsid w:val="00BA2F3A"/>
    <w:rsid w:val="00BC009A"/>
    <w:rsid w:val="00BF47F9"/>
    <w:rsid w:val="00BF7562"/>
    <w:rsid w:val="00C0592C"/>
    <w:rsid w:val="00C07688"/>
    <w:rsid w:val="00C260AB"/>
    <w:rsid w:val="00C32933"/>
    <w:rsid w:val="00C3314D"/>
    <w:rsid w:val="00C53924"/>
    <w:rsid w:val="00C75246"/>
    <w:rsid w:val="00C80B0B"/>
    <w:rsid w:val="00C91EDF"/>
    <w:rsid w:val="00C97447"/>
    <w:rsid w:val="00CC0D08"/>
    <w:rsid w:val="00CC3AA2"/>
    <w:rsid w:val="00CC6622"/>
    <w:rsid w:val="00CF081D"/>
    <w:rsid w:val="00D20F5D"/>
    <w:rsid w:val="00D376ED"/>
    <w:rsid w:val="00D40D51"/>
    <w:rsid w:val="00D40E4F"/>
    <w:rsid w:val="00D638D0"/>
    <w:rsid w:val="00D67A0A"/>
    <w:rsid w:val="00D70CCA"/>
    <w:rsid w:val="00D734B9"/>
    <w:rsid w:val="00D762A6"/>
    <w:rsid w:val="00D762BF"/>
    <w:rsid w:val="00D84564"/>
    <w:rsid w:val="00D958CF"/>
    <w:rsid w:val="00D968A7"/>
    <w:rsid w:val="00DC2149"/>
    <w:rsid w:val="00DC789F"/>
    <w:rsid w:val="00DD3C40"/>
    <w:rsid w:val="00DD7275"/>
    <w:rsid w:val="00DE1C6C"/>
    <w:rsid w:val="00DE2D37"/>
    <w:rsid w:val="00DE47C2"/>
    <w:rsid w:val="00DE5037"/>
    <w:rsid w:val="00DF054C"/>
    <w:rsid w:val="00DF65C1"/>
    <w:rsid w:val="00E008A4"/>
    <w:rsid w:val="00E042C5"/>
    <w:rsid w:val="00E06D7C"/>
    <w:rsid w:val="00E21963"/>
    <w:rsid w:val="00E22D9A"/>
    <w:rsid w:val="00E262A3"/>
    <w:rsid w:val="00E27C54"/>
    <w:rsid w:val="00E32D2F"/>
    <w:rsid w:val="00E51E95"/>
    <w:rsid w:val="00E5461B"/>
    <w:rsid w:val="00E63D59"/>
    <w:rsid w:val="00E708C9"/>
    <w:rsid w:val="00E74E35"/>
    <w:rsid w:val="00E75B93"/>
    <w:rsid w:val="00E81762"/>
    <w:rsid w:val="00E86D2A"/>
    <w:rsid w:val="00E9123C"/>
    <w:rsid w:val="00E95800"/>
    <w:rsid w:val="00EB1C90"/>
    <w:rsid w:val="00EB2200"/>
    <w:rsid w:val="00EC1EF8"/>
    <w:rsid w:val="00EC2547"/>
    <w:rsid w:val="00EC4079"/>
    <w:rsid w:val="00EE7D05"/>
    <w:rsid w:val="00EF17BC"/>
    <w:rsid w:val="00EF3B9C"/>
    <w:rsid w:val="00F04CAD"/>
    <w:rsid w:val="00F10E5D"/>
    <w:rsid w:val="00F11982"/>
    <w:rsid w:val="00F2634D"/>
    <w:rsid w:val="00F332CE"/>
    <w:rsid w:val="00F35009"/>
    <w:rsid w:val="00F4083E"/>
    <w:rsid w:val="00F45BA7"/>
    <w:rsid w:val="00F51DD4"/>
    <w:rsid w:val="00F61B4B"/>
    <w:rsid w:val="00F64D56"/>
    <w:rsid w:val="00F73621"/>
    <w:rsid w:val="00F82B11"/>
    <w:rsid w:val="00F873F0"/>
    <w:rsid w:val="00FA6D2B"/>
    <w:rsid w:val="00FB01AA"/>
    <w:rsid w:val="00FB15DB"/>
    <w:rsid w:val="00FC047A"/>
    <w:rsid w:val="00FC7DA9"/>
    <w:rsid w:val="00FD0BCB"/>
    <w:rsid w:val="00FD2F99"/>
    <w:rsid w:val="00FE314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044116F"/>
  <w15:docId w15:val="{776DBB6E-46F9-4EC3-9083-9C76C77B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006CB4"/>
    <w:pPr>
      <w:spacing w:line="240" w:lineRule="auto"/>
    </w:pPr>
    <w:rPr>
      <w:sz w:val="20"/>
      <w:szCs w:val="20"/>
    </w:rPr>
  </w:style>
  <w:style w:type="character" w:customStyle="1" w:styleId="FootnoteTextChar">
    <w:name w:val="Footnote Text Char"/>
    <w:basedOn w:val="DefaultParagraphFont"/>
    <w:link w:val="FootnoteText"/>
    <w:semiHidden/>
    <w:rsid w:val="00006CB4"/>
  </w:style>
  <w:style w:type="character" w:styleId="FootnoteReference">
    <w:name w:val="footnote reference"/>
    <w:basedOn w:val="DefaultParagraphFont"/>
    <w:semiHidden/>
    <w:unhideWhenUsed/>
    <w:rsid w:val="00006CB4"/>
    <w:rPr>
      <w:vertAlign w:val="superscript"/>
    </w:rPr>
  </w:style>
  <w:style w:type="character" w:styleId="Hyperlink">
    <w:name w:val="Hyperlink"/>
    <w:basedOn w:val="DefaultParagraphFont"/>
    <w:uiPriority w:val="99"/>
    <w:semiHidden/>
    <w:unhideWhenUsed/>
    <w:rsid w:val="00006CB4"/>
    <w:rPr>
      <w:color w:val="0000FF"/>
      <w:u w:val="single"/>
    </w:rPr>
  </w:style>
  <w:style w:type="character" w:styleId="CommentReference">
    <w:name w:val="annotation reference"/>
    <w:basedOn w:val="DefaultParagraphFont"/>
    <w:semiHidden/>
    <w:unhideWhenUsed/>
    <w:rsid w:val="000071F5"/>
    <w:rPr>
      <w:sz w:val="16"/>
      <w:szCs w:val="16"/>
    </w:rPr>
  </w:style>
  <w:style w:type="paragraph" w:styleId="CommentText">
    <w:name w:val="annotation text"/>
    <w:basedOn w:val="Normal"/>
    <w:link w:val="CommentTextChar"/>
    <w:semiHidden/>
    <w:unhideWhenUsed/>
    <w:rsid w:val="000071F5"/>
    <w:pPr>
      <w:spacing w:line="240" w:lineRule="auto"/>
    </w:pPr>
    <w:rPr>
      <w:sz w:val="20"/>
      <w:szCs w:val="20"/>
    </w:rPr>
  </w:style>
  <w:style w:type="character" w:customStyle="1" w:styleId="CommentTextChar">
    <w:name w:val="Comment Text Char"/>
    <w:basedOn w:val="DefaultParagraphFont"/>
    <w:link w:val="CommentText"/>
    <w:semiHidden/>
    <w:rsid w:val="000071F5"/>
  </w:style>
  <w:style w:type="paragraph" w:styleId="CommentSubject">
    <w:name w:val="annotation subject"/>
    <w:basedOn w:val="CommentText"/>
    <w:next w:val="CommentText"/>
    <w:link w:val="CommentSubjectChar"/>
    <w:semiHidden/>
    <w:unhideWhenUsed/>
    <w:rsid w:val="000071F5"/>
    <w:rPr>
      <w:b/>
      <w:bCs/>
    </w:rPr>
  </w:style>
  <w:style w:type="character" w:customStyle="1" w:styleId="CommentSubjectChar">
    <w:name w:val="Comment Subject Char"/>
    <w:basedOn w:val="CommentTextChar"/>
    <w:link w:val="CommentSubject"/>
    <w:semiHidden/>
    <w:rsid w:val="000071F5"/>
    <w:rPr>
      <w:b/>
      <w:bCs/>
    </w:rPr>
  </w:style>
  <w:style w:type="paragraph" w:styleId="BalloonText">
    <w:name w:val="Balloon Text"/>
    <w:basedOn w:val="Normal"/>
    <w:link w:val="BalloonTextChar"/>
    <w:semiHidden/>
    <w:unhideWhenUsed/>
    <w:rsid w:val="000071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71F5"/>
    <w:rPr>
      <w:rFonts w:ascii="Segoe UI" w:hAnsi="Segoe UI" w:cs="Segoe UI"/>
      <w:sz w:val="18"/>
      <w:szCs w:val="18"/>
    </w:rPr>
  </w:style>
  <w:style w:type="paragraph" w:styleId="ListParagraph">
    <w:name w:val="List Paragraph"/>
    <w:basedOn w:val="Normal"/>
    <w:uiPriority w:val="34"/>
    <w:qFormat/>
    <w:rsid w:val="00A608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1402</Words>
  <Characters>7216</Characters>
  <Application>Microsoft Office Word</Application>
  <DocSecurity>0</DocSecurity>
  <Lines>158</Lines>
  <Paragraphs>58</Paragraphs>
  <ScaleCrop>false</ScaleCrop>
  <HeadingPairs>
    <vt:vector size="2" baseType="variant">
      <vt:variant>
        <vt:lpstr>Title</vt:lpstr>
      </vt:variant>
      <vt:variant>
        <vt:i4>1</vt:i4>
      </vt:variant>
    </vt:vector>
  </HeadingPairs>
  <TitlesOfParts>
    <vt:vector size="1" baseType="lpstr">
      <vt:lpstr>S2400 4R  FISCAL ESTIMATE</vt:lpstr>
    </vt:vector>
  </TitlesOfParts>
  <Manager>Jordan DiGiovanni; R224 </Manager>
  <Company>Office of Legislative Services</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4R  FISCAL ESTIMATE</dc:title>
  <dc:creator>Senator SWEENEY, Senator BROWN</dc:creator>
  <cp:keywords>S2400|4|RF |282|282|243|!||</cp:keywords>
  <dc:description>Sponsor 6/21</dc:description>
  <cp:lastModifiedBy>Franks, Denise</cp:lastModifiedBy>
  <cp:revision>2</cp:revision>
  <cp:lastPrinted>2021-06-24T15:31:00Z</cp:lastPrinted>
  <dcterms:created xsi:type="dcterms:W3CDTF">2021-06-24T19:33:00Z</dcterms:created>
  <dcterms:modified xsi:type="dcterms:W3CDTF">2021-06-24T19:33:00Z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