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963" w:rsidRDefault="00157A5B" w:rsidP="00287963">
      <w:pPr>
        <w:pStyle w:val="bpuReprint"/>
      </w:pPr>
      <w:bookmarkStart w:id="0" w:name="_GoBack"/>
      <w:bookmarkEnd w:id="0"/>
      <w:r>
        <w:t>[Second Reprint]</w:t>
      </w:r>
    </w:p>
    <w:p w:rsidR="009B607C" w:rsidRDefault="009B607C" w:rsidP="009B607C">
      <w:pPr>
        <w:pStyle w:val="bpuBill"/>
      </w:pPr>
      <w:r>
        <w:t xml:space="preserve">SENATE, No. 2400 </w:t>
      </w:r>
    </w:p>
    <w:p w:rsidR="009B607C" w:rsidRPr="009D38FF" w:rsidRDefault="009B607C" w:rsidP="009B6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47945" r:id="rId8"/>
        </w:object>
      </w:r>
    </w:p>
    <w:p w:rsidR="009B607C" w:rsidRDefault="009B607C" w:rsidP="009B607C">
      <w:pPr>
        <w:pStyle w:val="bpuState"/>
      </w:pPr>
      <w:r>
        <w:t>STATE OF NEW JERSEY</w:t>
      </w:r>
    </w:p>
    <w:p w:rsidR="009B607C" w:rsidRDefault="009B607C" w:rsidP="009B607C">
      <w:pPr>
        <w:pStyle w:val="bpuLegislature"/>
      </w:pPr>
      <w:r>
        <w:t>219th LEGISLATURE</w:t>
      </w:r>
    </w:p>
    <w:p w:rsidR="009B607C" w:rsidRDefault="009B607C" w:rsidP="009B607C">
      <w:pPr>
        <w:pStyle w:val="bpuWpGraphic"/>
      </w:pPr>
      <w:r>
        <w:object w:dxaOrig="8985" w:dyaOrig="255">
          <v:shape id="_x0000_i1026" type="#_x0000_t75" style="width:6in;height:12pt" o:ole="">
            <v:imagedata r:id="rId7" o:title=""/>
          </v:shape>
          <o:OLEObject Type="Embed" ProgID="WPWin6.1" ShapeID="_x0000_i1026" DrawAspect="Content" ObjectID="_1653747946" r:id="rId9"/>
        </w:object>
      </w:r>
      <w:r>
        <w:t xml:space="preserve">  </w:t>
      </w:r>
    </w:p>
    <w:p w:rsidR="009B607C" w:rsidRDefault="009B607C" w:rsidP="009B607C">
      <w:pPr>
        <w:pStyle w:val="bpuIntro"/>
      </w:pPr>
      <w:r>
        <w:t>INTRODUCED MAY 7, 2020</w:t>
      </w:r>
    </w:p>
    <w:p w:rsidR="009B607C" w:rsidRDefault="009B607C" w:rsidP="009B607C">
      <w:pPr>
        <w:pStyle w:val="bpuIntro"/>
      </w:pPr>
    </w:p>
    <w:p w:rsidR="009B607C" w:rsidRDefault="009B607C" w:rsidP="009B607C">
      <w:pPr>
        <w:pStyle w:val="bpuIntro"/>
        <w:sectPr w:rsidR="009B607C" w:rsidSect="00A860D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607C" w:rsidRDefault="009B607C" w:rsidP="009B607C">
      <w:pPr>
        <w:pStyle w:val="bpuIntro"/>
      </w:pPr>
    </w:p>
    <w:p w:rsidR="009B607C" w:rsidRDefault="009B607C" w:rsidP="009B607C">
      <w:pPr>
        <w:pStyle w:val="bpuSponsor"/>
      </w:pPr>
      <w:r>
        <w:t>Sponsored by:</w:t>
      </w:r>
    </w:p>
    <w:p w:rsidR="009B607C" w:rsidRDefault="009B607C" w:rsidP="009B607C">
      <w:pPr>
        <w:pStyle w:val="bpuSponsor"/>
      </w:pPr>
      <w:r>
        <w:t>Senator  STEPHEN M. SWEENEY</w:t>
      </w:r>
    </w:p>
    <w:p w:rsidR="009B607C" w:rsidRDefault="009B607C" w:rsidP="009B607C">
      <w:pPr>
        <w:pStyle w:val="bpuSponsor"/>
      </w:pPr>
      <w:r>
        <w:t>District 3 (Cumberland, Gloucester and Salem)</w:t>
      </w:r>
    </w:p>
    <w:p w:rsidR="009B607C" w:rsidRDefault="00794A5D" w:rsidP="00794A5D">
      <w:pPr>
        <w:pStyle w:val="bpuSponsor"/>
      </w:pPr>
      <w:r>
        <w:t>Senator  CHRIS A. BROWN</w:t>
      </w:r>
    </w:p>
    <w:p w:rsidR="00794A5D" w:rsidRDefault="00794A5D" w:rsidP="00794A5D">
      <w:pPr>
        <w:pStyle w:val="bpuSponsor"/>
      </w:pPr>
      <w:r>
        <w:t>District 2 (Atlantic)</w:t>
      </w:r>
    </w:p>
    <w:p w:rsidR="00794A5D" w:rsidRPr="00794A5D" w:rsidRDefault="00794A5D" w:rsidP="00794A5D">
      <w:pPr>
        <w:pStyle w:val="bpuSponsor"/>
      </w:pPr>
    </w:p>
    <w:p w:rsidR="009B607C" w:rsidRDefault="00A860D1" w:rsidP="00A860D1">
      <w:pPr>
        <w:pStyle w:val="bpuSponsor"/>
      </w:pPr>
      <w:r>
        <w:t>Co-Sponsored by:</w:t>
      </w:r>
    </w:p>
    <w:p w:rsidR="00A860D1" w:rsidRDefault="00A860D1" w:rsidP="00A860D1">
      <w:pPr>
        <w:pStyle w:val="bpuSponsor"/>
      </w:pPr>
      <w:r w:rsidRPr="00A860D1">
        <w:t xml:space="preserve">Senator </w:t>
      </w:r>
      <w:proofErr w:type="spellStart"/>
      <w:r w:rsidRPr="00A860D1">
        <w:t>Testa</w:t>
      </w:r>
      <w:proofErr w:type="spellEnd"/>
    </w:p>
    <w:p w:rsidR="00A860D1" w:rsidRDefault="00A860D1" w:rsidP="00A860D1"/>
    <w:p w:rsidR="00A860D1" w:rsidRPr="00A860D1" w:rsidRDefault="00A860D1" w:rsidP="00A860D1"/>
    <w:p w:rsidR="009B607C" w:rsidRDefault="009B607C" w:rsidP="009B607C">
      <w:pPr>
        <w:pStyle w:val="bpuSponsor"/>
      </w:pPr>
    </w:p>
    <w:p w:rsidR="009B607C" w:rsidRDefault="009B607C" w:rsidP="009B607C">
      <w:pPr>
        <w:pStyle w:val="bpuSponsor"/>
      </w:pPr>
    </w:p>
    <w:p w:rsidR="009B607C" w:rsidRDefault="009B607C" w:rsidP="009B607C">
      <w:pPr>
        <w:pStyle w:val="bpuSponsor"/>
      </w:pPr>
      <w:r>
        <w:t>SYNOPSIS</w:t>
      </w:r>
    </w:p>
    <w:p w:rsidR="00287963" w:rsidRPr="00287963" w:rsidRDefault="001C5ECA" w:rsidP="002879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Pr="00E90E90">
        <w:t>Provides temporary modifications to payment and use of certain casino gaming taxes and fees; allows deduction of promotional gaming credits and certain coupons from gross revenues; appropriates $100 million of federal funds to EDA for small business assistance</w:t>
      </w:r>
      <w:r>
        <w:t>; requires priority funding for senior and disabled transportation services from Casino Revenue Fund.</w:t>
      </w:r>
    </w:p>
    <w:p w:rsidR="009B607C" w:rsidRDefault="009B607C" w:rsidP="009B607C">
      <w:pPr>
        <w:pStyle w:val="bpuNormText"/>
      </w:pPr>
    </w:p>
    <w:p w:rsidR="009B607C" w:rsidRDefault="009B607C" w:rsidP="009B607C">
      <w:pPr>
        <w:pStyle w:val="bpuSponsor"/>
      </w:pPr>
      <w:r>
        <w:t xml:space="preserve">CURRENT VERSION OF TEXT </w:t>
      </w:r>
    </w:p>
    <w:p w:rsidR="009B607C" w:rsidRDefault="00157A5B" w:rsidP="009B607C">
      <w:pPr>
        <w:pStyle w:val="bpuNormText"/>
      </w:pPr>
      <w:r>
        <w:tab/>
        <w:t>As amended by the Senate on June 15, 2020.</w:t>
      </w:r>
    </w:p>
    <w:p w:rsidR="009B607C" w:rsidRDefault="009B607C" w:rsidP="009B6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07C" w:rsidRDefault="009B607C" w:rsidP="008916EC">
      <w:pPr>
        <w:pStyle w:val="FronterPage"/>
        <w:tabs>
          <w:tab w:val="clear" w:pos="720"/>
          <w:tab w:val="clear" w:pos="1440"/>
          <w:tab w:val="clear" w:pos="2160"/>
          <w:tab w:val="clear" w:pos="2880"/>
          <w:tab w:val="clear" w:pos="3600"/>
          <w:tab w:val="clear" w:pos="4320"/>
          <w:tab w:val="clear" w:pos="5040"/>
        </w:tabs>
        <w:sectPr w:rsidR="009B607C" w:rsidSect="009B607C">
          <w:type w:val="continuous"/>
          <w:pgSz w:w="12240" w:h="20160" w:code="5"/>
          <w:pgMar w:top="1440" w:right="2275" w:bottom="1440" w:left="2275" w:header="72" w:footer="720" w:gutter="0"/>
          <w:pgNumType w:start="1"/>
          <w:cols w:space="720"/>
          <w:docGrid w:linePitch="360"/>
        </w:sectPr>
      </w:pPr>
    </w:p>
    <w:p w:rsidR="000B1054" w:rsidRDefault="001B2274" w:rsidP="00D46A92">
      <w:pPr>
        <w:pStyle w:val="HangingAnAct"/>
      </w:pPr>
      <w:r w:rsidRPr="00E8014C">
        <w:rPr>
          <w:b/>
          <w:bCs/>
        </w:rPr>
        <w:lastRenderedPageBreak/>
        <w:t>An Act</w:t>
      </w:r>
      <w:r w:rsidRPr="00E8014C">
        <w:t xml:space="preserve"> concerning </w:t>
      </w:r>
      <w:r w:rsidRPr="00E8014C">
        <w:rPr>
          <w:b/>
          <w:bCs/>
          <w:vertAlign w:val="superscript"/>
        </w:rPr>
        <w:t>1</w:t>
      </w:r>
      <w:r w:rsidRPr="00E8014C">
        <w:rPr>
          <w:rFonts w:ascii="Albertus Extra Bold" w:hAnsi="Albertus Extra Bold"/>
          <w:b/>
          <w:bCs/>
        </w:rPr>
        <w:t>[</w:t>
      </w:r>
      <w:r w:rsidRPr="00E8014C">
        <w:t>temporary modifications to the payment and use of certain casino gaming taxes and fees due to COVID-19 Public Health Emergency and State of Emergency, and permanent modifications to the types and taxation of promotional gaming credits and</w:t>
      </w:r>
      <w:r w:rsidRPr="00E8014C">
        <w:rPr>
          <w:rFonts w:ascii="Albertus Extra Bold" w:hAnsi="Albertus Extra Bold"/>
          <w:b/>
          <w:bCs/>
        </w:rPr>
        <w:t>]</w:t>
      </w:r>
      <w:r w:rsidRPr="00E8014C">
        <w:t xml:space="preserve"> </w:t>
      </w:r>
      <w:r w:rsidRPr="00E8014C">
        <w:rPr>
          <w:u w:val="single"/>
        </w:rPr>
        <w:t>tax and economic relief for casinos and small businesses,</w:t>
      </w:r>
      <w:r w:rsidRPr="00E8014C">
        <w:rPr>
          <w:b/>
          <w:bCs/>
          <w:vertAlign w:val="superscript"/>
        </w:rPr>
        <w:t>1</w:t>
      </w:r>
      <w:r w:rsidRPr="00C9102A">
        <w:t xml:space="preserve"> </w:t>
      </w:r>
      <w:r w:rsidRPr="00C9102A">
        <w:rPr>
          <w:rFonts w:ascii="Albertus Extra Bold" w:hAnsi="Albertus Extra Bold"/>
          <w:b/>
          <w:vertAlign w:val="superscript"/>
        </w:rPr>
        <w:t>2</w:t>
      </w:r>
      <w:r w:rsidRPr="00C9102A">
        <w:rPr>
          <w:u w:val="single"/>
        </w:rPr>
        <w:t xml:space="preserve">and </w:t>
      </w:r>
      <w:r>
        <w:rPr>
          <w:u w:val="single"/>
        </w:rPr>
        <w:t>priority funding for cer</w:t>
      </w:r>
      <w:r w:rsidRPr="00C9102A">
        <w:rPr>
          <w:u w:val="single"/>
        </w:rPr>
        <w:t>tain programs funded from the Casino Revenue Fund</w:t>
      </w:r>
      <w:r>
        <w:rPr>
          <w:rFonts w:ascii="Albertus Extra Bold" w:hAnsi="Albertus Extra Bold"/>
          <w:b/>
          <w:vertAlign w:val="superscript"/>
        </w:rPr>
        <w:t>2</w:t>
      </w:r>
      <w:r>
        <w:t xml:space="preserve"> and </w:t>
      </w:r>
      <w:r w:rsidRPr="00E8014C">
        <w:t xml:space="preserve">amending P.L.2008, c.12 </w:t>
      </w:r>
      <w:r w:rsidRPr="00E8014C">
        <w:rPr>
          <w:b/>
          <w:bCs/>
          <w:vertAlign w:val="superscript"/>
        </w:rPr>
        <w:t>1</w:t>
      </w:r>
      <w:r w:rsidRPr="00E8014C">
        <w:rPr>
          <w:rFonts w:ascii="Albertus Extra Bold" w:hAnsi="Albertus Extra Bold"/>
          <w:b/>
          <w:bCs/>
        </w:rPr>
        <w:t>[</w:t>
      </w:r>
      <w:r w:rsidRPr="00E8014C">
        <w:t>.</w:t>
      </w:r>
      <w:r w:rsidRPr="00E8014C">
        <w:rPr>
          <w:rFonts w:ascii="Albertus Extra Bold" w:hAnsi="Albertus Extra Bold"/>
          <w:b/>
          <w:bCs/>
        </w:rPr>
        <w:t>]</w:t>
      </w:r>
      <w:r w:rsidRPr="00E8014C">
        <w:t xml:space="preserve"> </w:t>
      </w:r>
      <w:r w:rsidRPr="00E8014C">
        <w:rPr>
          <w:u w:val="single"/>
        </w:rPr>
        <w:t>,</w:t>
      </w:r>
      <w:r>
        <w:rPr>
          <w:u w:val="single"/>
        </w:rPr>
        <w:t xml:space="preserve"> </w:t>
      </w:r>
      <w:r>
        <w:rPr>
          <w:rFonts w:ascii="Albertus Extra Bold" w:hAnsi="Albertus Extra Bold"/>
          <w:b/>
          <w:u w:val="single"/>
          <w:vertAlign w:val="superscript"/>
        </w:rPr>
        <w:t>2</w:t>
      </w:r>
      <w:r>
        <w:rPr>
          <w:u w:val="single"/>
        </w:rPr>
        <w:t>and P.L.1983, c.578,</w:t>
      </w:r>
      <w:r>
        <w:rPr>
          <w:rFonts w:ascii="Albertus Extra Bold" w:hAnsi="Albertus Extra Bold"/>
          <w:b/>
          <w:u w:val="single"/>
          <w:vertAlign w:val="superscript"/>
        </w:rPr>
        <w:t>2</w:t>
      </w:r>
      <w:r w:rsidRPr="00E8014C">
        <w:rPr>
          <w:u w:val="single"/>
        </w:rPr>
        <w:t xml:space="preserve"> and making an </w:t>
      </w:r>
      <w:r>
        <w:rPr>
          <w:u w:val="single"/>
        </w:rPr>
        <w:t xml:space="preserve"> </w:t>
      </w:r>
      <w:r w:rsidRPr="00E8014C">
        <w:rPr>
          <w:u w:val="single"/>
        </w:rPr>
        <w:t>appropriation.</w:t>
      </w:r>
      <w:r w:rsidRPr="00E8014C">
        <w:rPr>
          <w:b/>
          <w:bCs/>
          <w:vertAlign w:val="superscript"/>
        </w:rPr>
        <w:t>1</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D46A92" w:rsidRDefault="00B360F4"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024F1">
        <w:t>1.</w:t>
      </w:r>
      <w:r w:rsidR="001024F1">
        <w:tab/>
      </w:r>
      <w:r w:rsidR="00D46A92">
        <w:t xml:space="preserve">a. </w:t>
      </w:r>
      <w:r w:rsidR="001024F1">
        <w:t xml:space="preserve"> </w:t>
      </w:r>
      <w:r w:rsidR="00D46A92">
        <w:t xml:space="preserve">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than as provided under subsections b. and c. of this section, shall be deferred during the period the licensee’s casino hotel facility remains closed due to the COVID-19 Public Health Emergency and State of Emergency declared by the Governor in Executive Order No. 103 of 2020, and during the six-month period immediately following the date that the casinos </w:t>
      </w:r>
      <w:r w:rsidR="00543693">
        <w:t xml:space="preserve">are permitted to </w:t>
      </w:r>
      <w:r w:rsidR="00D46A92">
        <w:t>reopen after the declarations. The amounts deferred shall be paid by each casino licensee in equal monthly installments over the 12-month period following the deferment period.</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The annual license fee of $500 imposed under section 140 of P.L.1977, c.110 (C.5:12-140) on each slot machine maintained for use or in use at a licensed casino establishment, and that fee imposed on a pro-rata basis, shall be waived from July 1, 2020 through June 30, 2021, inclusive. If</w:t>
      </w:r>
      <w:r w:rsidR="003D2616">
        <w:t xml:space="preserve"> a fee due on July 1, 2020, or </w:t>
      </w:r>
      <w:r w:rsidR="00D46A92">
        <w:t>a pro-rata fee, is paid by a casino licensee on each slot machine maintained for use or in use during that period, the licensee shall receive a reimbursement of that fee within 30 days following the effective date of this act, P.L.</w:t>
      </w:r>
      <w:r>
        <w:t>    </w:t>
      </w:r>
      <w:r w:rsidR="00D46A92">
        <w:t xml:space="preserve">, c.     (pending before the Legislature as this bill).  </w:t>
      </w:r>
    </w:p>
    <w:p w:rsidR="00157A5B" w:rsidRDefault="001024F1" w:rsidP="00157A5B">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c.</w:t>
      </w:r>
      <w:r>
        <w:tab/>
      </w:r>
      <w:r w:rsidR="00D46A92">
        <w:t xml:space="preserve">This section shall not apply to any fees imposed on a casino </w:t>
      </w:r>
      <w:proofErr w:type="spellStart"/>
      <w:r w:rsidR="00D46A92">
        <w:t>licensee</w:t>
      </w:r>
      <w:proofErr w:type="spellEnd"/>
      <w:r w:rsidR="00D46A92">
        <w:t xml:space="preserve"> or its Internet gaming affiliate for the issuance or renewal of any Internet gaming license or permit under section 27 of P.L.2013, c.27 (C.5:12-95.29), or any amounts required to be deposited in the Casino Control Fund under section 22 of P.L.2013, c.27 (5:12-95.24).</w:t>
      </w:r>
      <w:r w:rsidR="00157A5B">
        <w:br w:type="page"/>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t>2.</w:t>
      </w:r>
      <w:r>
        <w:tab/>
      </w:r>
      <w:r w:rsidR="00D46A92">
        <w:t>Notwithstanding the provisions of the “Casino Control Act,” P.L.1977, c.110 (C.5:12-1 et seq.), or any law, rule, or regulation to the contra</w:t>
      </w:r>
      <w:r w:rsidR="00674A31">
        <w:t xml:space="preserve">ry, any surplus funds </w:t>
      </w:r>
      <w:r w:rsidR="00D46A92">
        <w:t>held by the Division of Gaming Enforcement in the Casino Control Fund, or held by the division due to an overpayment of the investment alternative tax imposed pursuant to section 3 of P.L.1984, c.218 (C.5:12-144.1) in the case of a downward adjustment of a casino licensee’s audited gross revenues, shall be returned to each casino licensee in proportion to the licensee’s share of the surplus or overpayment, if any, within five business days following the effective date of this act, P.L.    , c.</w:t>
      </w:r>
      <w:r>
        <w:t>      </w:t>
      </w:r>
      <w:r w:rsidR="00D46A92">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rsidR="00D46A92">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57A5B">
        <w:rPr>
          <w:rFonts w:ascii="Albertus Extra Bold" w:hAnsi="Albertus Extra Bold"/>
          <w:b/>
          <w:vertAlign w:val="superscript"/>
        </w:rPr>
        <w:t>2</w:t>
      </w:r>
      <w:r w:rsidR="00157A5B" w:rsidRPr="00157A5B">
        <w:rPr>
          <w:rFonts w:ascii="Albertus Extra Bold" w:hAnsi="Albertus Extra Bold"/>
          <w:b/>
        </w:rPr>
        <w:t>[</w:t>
      </w:r>
      <w:r>
        <w:t>3.</w:t>
      </w:r>
      <w:r w:rsidR="00157A5B">
        <w:t xml:space="preserve">  </w:t>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Pr="00157A5B"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r w:rsidR="00157A5B" w:rsidRPr="00157A5B">
        <w:rPr>
          <w:rFonts w:ascii="Albertus Extra Bold" w:hAnsi="Albertus Extra Bold"/>
          <w:b/>
        </w:rPr>
        <w:t>]</w:t>
      </w:r>
      <w:r w:rsidR="00157A5B">
        <w:rPr>
          <w:rFonts w:ascii="Albertus Extra Bold" w:hAnsi="Albertus Extra Bold"/>
          <w:b/>
          <w:vertAlign w:val="superscript"/>
        </w:rPr>
        <w:t>2</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57A5B">
        <w:rPr>
          <w:rFonts w:ascii="Albertus Extra Bold" w:hAnsi="Albertus Extra Bold"/>
          <w:b/>
          <w:vertAlign w:val="superscript"/>
        </w:rPr>
        <w:t>2</w:t>
      </w:r>
      <w:r>
        <w:t>4.</w:t>
      </w:r>
      <w:r w:rsidR="00157A5B" w:rsidRPr="00157A5B">
        <w:rPr>
          <w:rFonts w:ascii="Albertus Extra Bold" w:hAnsi="Albertus Extra Bold"/>
          <w:b/>
        </w:rPr>
        <w:t>]</w:t>
      </w:r>
      <w:r w:rsidR="00157A5B">
        <w:t xml:space="preserve"> </w:t>
      </w:r>
      <w:r w:rsidR="00157A5B">
        <w:rPr>
          <w:u w:val="single"/>
        </w:rPr>
        <w:t>3.</w:t>
      </w:r>
      <w:r w:rsidR="00157A5B" w:rsidRPr="00157A5B">
        <w:rPr>
          <w:rFonts w:ascii="Albertus Extra Bold" w:hAnsi="Albertus Extra Bold"/>
          <w:b/>
          <w:vertAlign w:val="superscript"/>
        </w:rPr>
        <w:t>2</w:t>
      </w:r>
      <w:r>
        <w:tab/>
      </w:r>
      <w:r w:rsidR="00D46A92">
        <w:t xml:space="preserve">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effective date of this act, P.L.    , c.    (pending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w:t>
      </w:r>
      <w:r w:rsidR="00D46A92">
        <w:lastRenderedPageBreak/>
        <w:t>hotel room fee for the payment of any bonds secured by the fee’s proceeds.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Pr="00157A5B"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r>
      <w:r w:rsidR="00157A5B">
        <w:rPr>
          <w:rFonts w:ascii="Albertus Extra Bold" w:hAnsi="Albertus Extra Bold"/>
          <w:b/>
          <w:vertAlign w:val="superscript"/>
        </w:rPr>
        <w:t>2</w:t>
      </w:r>
      <w:r w:rsidR="00157A5B" w:rsidRPr="00157A5B">
        <w:rPr>
          <w:rFonts w:ascii="Albertus Extra Bold" w:hAnsi="Albertus Extra Bold"/>
          <w:b/>
        </w:rPr>
        <w:t>[</w:t>
      </w:r>
      <w:r>
        <w:t>5.</w:t>
      </w:r>
      <w:r>
        <w:tab/>
      </w:r>
      <w:r w:rsidR="00D46A92">
        <w:t>Notwithstanding the provisions of P.L.1991, c.376 (C.40:48-8.45 et seq.), or any other law, rule, or regulation to the contrary, the fee of $2 per day for each occupied room in the case of any hotel in the eligible municipality which provides casino gaming, and the fee of $1 per day for each occupied room in the case of the other hotels or transient accommodations in the eligible municipality shall be waived commencing on the effective date of this act, P.L.    , c.</w:t>
      </w:r>
      <w:r>
        <w:t>    </w:t>
      </w:r>
      <w:r w:rsidR="00D46A92">
        <w:t>(pending before the Legislature as this bill) through December 31, 2020.  The fees shall be imposed again commencing January 1, 2021 and thereafter.</w:t>
      </w:r>
      <w:r w:rsidR="00157A5B" w:rsidRPr="00157A5B">
        <w:rPr>
          <w:rFonts w:ascii="Albertus Extra Bold" w:hAnsi="Albertus Extra Bold"/>
          <w:b/>
        </w:rPr>
        <w:t>]</w:t>
      </w:r>
      <w:r w:rsidR="00157A5B">
        <w:rPr>
          <w:rFonts w:ascii="Albertus Extra Bold" w:hAnsi="Albertus Extra Bold"/>
          <w:b/>
          <w:vertAlign w:val="superscript"/>
        </w:rPr>
        <w:t>2</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EE5358" w:rsidRDefault="00EE5358" w:rsidP="00EE5358">
      <w:r>
        <w:tab/>
      </w:r>
      <w:r>
        <w:rPr>
          <w:rFonts w:ascii="Albertus Extra Bold" w:hAnsi="Albertus Extra Bold"/>
          <w:b/>
          <w:vertAlign w:val="superscript"/>
        </w:rPr>
        <w:t>2</w:t>
      </w:r>
      <w:r w:rsidRPr="002D5008">
        <w:rPr>
          <w:rFonts w:ascii="Albertus Extra Bold" w:hAnsi="Albertus Extra Bold"/>
          <w:b/>
        </w:rPr>
        <w:t>[</w:t>
      </w:r>
      <w:r>
        <w:t>6.</w:t>
      </w:r>
      <w:r w:rsidRPr="002D5008">
        <w:rPr>
          <w:rFonts w:ascii="Albertus Extra Bold" w:hAnsi="Albertus Extra Bold"/>
          <w:b/>
        </w:rPr>
        <w:t>]</w:t>
      </w:r>
      <w:r>
        <w:t xml:space="preserve"> </w:t>
      </w:r>
      <w:r w:rsidRPr="002D5008">
        <w:rPr>
          <w:u w:val="single"/>
        </w:rPr>
        <w:t>4.</w:t>
      </w:r>
      <w:r w:rsidRPr="002D5008">
        <w:rPr>
          <w:rFonts w:ascii="Albertus Extra Bold" w:hAnsi="Albertus Extra Bold"/>
          <w:b/>
          <w:vertAlign w:val="superscript"/>
        </w:rPr>
        <w:t>2</w:t>
      </w:r>
      <w:r>
        <w:tab/>
        <w:t xml:space="preserve">a.  Notwithstanding the provisions of the “Casino Control Act,” P.L.1977, c.110 (C.5:12-1 et seq.), or any law, rule, or regulation to the contrary, a casino licensee reopening a casino property following the property’s closure due to the COVID-19 Public Health Emergency and State of Emergency declarations issued by the Governor under Executive Order No. 103 of 2020, shall be entitled during the </w:t>
      </w:r>
      <w:r>
        <w:rPr>
          <w:b/>
          <w:bCs/>
          <w:vertAlign w:val="superscript"/>
        </w:rPr>
        <w:t>2</w:t>
      </w:r>
      <w:r w:rsidRPr="009B4543">
        <w:rPr>
          <w:rFonts w:ascii="Albertus Extra Bold" w:hAnsi="Albertus Extra Bold"/>
          <w:b/>
          <w:bCs/>
        </w:rPr>
        <w:t>[</w:t>
      </w:r>
      <w:r>
        <w:t>24-month</w:t>
      </w:r>
      <w:r w:rsidRPr="009B4543">
        <w:rPr>
          <w:rFonts w:ascii="Albertus Extra Bold" w:hAnsi="Albertus Extra Bold"/>
          <w:b/>
          <w:bCs/>
        </w:rPr>
        <w:t>]</w:t>
      </w:r>
      <w:r>
        <w:t xml:space="preserve"> </w:t>
      </w:r>
      <w:r>
        <w:rPr>
          <w:u w:val="single"/>
        </w:rPr>
        <w:t>12-month</w:t>
      </w:r>
      <w:r>
        <w:rPr>
          <w:b/>
          <w:bCs/>
          <w:vertAlign w:val="superscript"/>
        </w:rPr>
        <w:t>2</w:t>
      </w:r>
      <w:r>
        <w:t xml:space="preserve"> period commencing on the date that the casinos are permitted to reopen after the declarations and ending on the last day of the </w:t>
      </w:r>
      <w:r>
        <w:rPr>
          <w:b/>
          <w:bCs/>
          <w:vertAlign w:val="superscript"/>
        </w:rPr>
        <w:t>2</w:t>
      </w:r>
      <w:r w:rsidRPr="009B4543">
        <w:rPr>
          <w:rFonts w:ascii="Albertus Extra Bold" w:hAnsi="Albertus Extra Bold"/>
          <w:b/>
          <w:bCs/>
        </w:rPr>
        <w:t>[</w:t>
      </w:r>
      <w:r>
        <w:t>24th</w:t>
      </w:r>
      <w:r w:rsidRPr="009B4543">
        <w:rPr>
          <w:rFonts w:ascii="Albertus Extra Bold" w:hAnsi="Albertus Extra Bold"/>
          <w:b/>
          <w:bCs/>
        </w:rPr>
        <w:t>]</w:t>
      </w:r>
      <w:r>
        <w:t xml:space="preserve"> </w:t>
      </w:r>
      <w:r>
        <w:rPr>
          <w:u w:val="single"/>
        </w:rPr>
        <w:t>12th</w:t>
      </w:r>
      <w:r>
        <w:rPr>
          <w:b/>
          <w:bCs/>
          <w:vertAlign w:val="superscript"/>
        </w:rPr>
        <w:t>2</w:t>
      </w:r>
      <w:r>
        <w:t xml:space="preserve"> month thereafter to receive a reduction in their tax liability on the </w:t>
      </w:r>
      <w:r>
        <w:rPr>
          <w:b/>
          <w:bCs/>
          <w:vertAlign w:val="superscript"/>
        </w:rPr>
        <w:t>2</w:t>
      </w:r>
      <w:r w:rsidRPr="009B4543">
        <w:rPr>
          <w:rFonts w:ascii="Albertus Extra Bold" w:hAnsi="Albertus Extra Bold"/>
          <w:b/>
          <w:bCs/>
        </w:rPr>
        <w:t>[</w:t>
      </w:r>
      <w:r>
        <w:t>8</w:t>
      </w:r>
      <w:r w:rsidRPr="009B4543">
        <w:rPr>
          <w:rFonts w:ascii="Albertus Extra Bold" w:hAnsi="Albertus Extra Bold"/>
          <w:b/>
          <w:bCs/>
        </w:rPr>
        <w:t>]</w:t>
      </w:r>
      <w:r>
        <w:t xml:space="preserve"> </w:t>
      </w:r>
      <w:r>
        <w:rPr>
          <w:u w:val="single"/>
        </w:rPr>
        <w:t>eight</w:t>
      </w:r>
      <w:r>
        <w:rPr>
          <w:b/>
          <w:bCs/>
          <w:vertAlign w:val="superscript"/>
        </w:rPr>
        <w:t>2</w:t>
      </w:r>
      <w:r>
        <w:t xml:space="preserve"> percent tax on gross revenues, as that term is defined in section 24 of P.L.1977, c.110 (C.5:12-24) and imposed under section 144 of P.L.1977, c.110 (C.5:12-144), and on the investment alternative tax on such gross revenues imposed under section 3 of P.L.1984, c.218 (C.5:12-144.1). The reduced tax liability required to be provided under this act, P.L.   , c.   (pending before the Legislature as this bill), shall be calculated in accordance with subsection b. of this section, and shall be subject to the provisions specified under subsection c. of this section.</w:t>
      </w:r>
    </w:p>
    <w:p w:rsidR="00EE5358" w:rsidRDefault="00EE5358" w:rsidP="00EE5358">
      <w:r>
        <w:tab/>
        <w:t>b.</w:t>
      </w:r>
      <w:r>
        <w:tab/>
        <w:t xml:space="preserve">A casino licensee reopening a casino property following its closure due to the emergency declarations as provided under subsection a. of this section shall be entitled to a reduction of the licensee’s gross revenues tax and investment alternative tax liabilities on a monthly basis, which obligations shall be calculated subject to rounding, as follows: </w:t>
      </w:r>
    </w:p>
    <w:p w:rsidR="00EE5358" w:rsidRDefault="00EE5358" w:rsidP="00EE5358">
      <w:r>
        <w:tab/>
        <w:t>(1)  for each calendar month in which the gross revenues are less than 25 percent of the gross revenues for the same calendar month immediately prior to March 1, 2020, the gross revenues tax and investment alternative tax obligations shall be zero for each tax;</w:t>
      </w:r>
    </w:p>
    <w:p w:rsidR="00EE5358" w:rsidRDefault="00EE5358" w:rsidP="00EE5358">
      <w:r>
        <w:tab/>
        <w:t xml:space="preserve">(2)  for each calendar month in which the gross revenues are at least 25 percent and not more than 49 percent of the gross revenues for the same calendar month immediately prior to March 1, 2020, the gross revenues tax and investment alternative tax obligations </w:t>
      </w:r>
      <w:r>
        <w:lastRenderedPageBreak/>
        <w:t>shall be 25 percent of the full amounts that would normally be due for each tax;</w:t>
      </w:r>
    </w:p>
    <w:p w:rsidR="00EE5358" w:rsidRDefault="00EE5358" w:rsidP="00EE5358">
      <w:r>
        <w:tab/>
        <w:t>(3)  for each calendar month in which the gross revenues are at least 50 percent and not more than 74 percent of the gross revenues for the same calendar month immediately prior to March 1, 2020, the gross revenues tax and investment alternative tax obligations shall be 50 percent of the full amounts that would normally be due for each tax; and</w:t>
      </w:r>
    </w:p>
    <w:p w:rsidR="00EE5358" w:rsidRDefault="00EE5358" w:rsidP="00EE5358">
      <w:r>
        <w:tab/>
        <w:t>(4)  for each calendar month in which the gross revenues are at least 75 percent and not more than 99 percent of the gross revenues for the same calendar month immediately prior to March 1, 2020, the gross revenues tax and investment alternative tax obligations shall be 75 percent of the full amounts that would normally be due for each tax.</w:t>
      </w:r>
    </w:p>
    <w:p w:rsidR="00EE5358" w:rsidRDefault="00EE5358" w:rsidP="00EE5358">
      <w:r>
        <w:tab/>
        <w:t>The reductions in the tax liabilities enumerated under paragraphs (1) through (4) of this subsection shall not apply in each calendar month in which the gross revenues are 100 percent or more of the gross revenues for the same calendar month immediately prior to March 1, 2020, in which case the gross revenues tax and investment alternative tax obligations shall be the full amounts that would normally be due for each tax.</w:t>
      </w:r>
    </w:p>
    <w:p w:rsidR="00EE5358" w:rsidRDefault="00EE5358" w:rsidP="00EE5358">
      <w:r>
        <w:tab/>
        <w:t>c.</w:t>
      </w:r>
      <w:r>
        <w:tab/>
        <w:t>Each casino licensee entitled to receive a reduction in their tax liability under this section shall submit to the State Treasurer and the Division of Gaming Enforcement, at the same time that the reduced tax payments are made, a report documenting that an amount equal to the entire dollar amount reduced under this act that was not subject to collection by the State is being expended by the licensee for any of the following purposes:</w:t>
      </w:r>
    </w:p>
    <w:p w:rsidR="00EE5358" w:rsidRDefault="00EE5358" w:rsidP="00EE5358">
      <w:r>
        <w:tab/>
        <w:t>(1)  the prompt re-hiring and employment of the casino licensee’s former employees and new applicants;</w:t>
      </w:r>
    </w:p>
    <w:p w:rsidR="00EE5358" w:rsidRDefault="00EE5358" w:rsidP="00EE5358">
      <w:r>
        <w:tab/>
        <w:t>(2)  attracting tourists, gaming, and hospitality patrons to visit and stay at the casino hotel property;</w:t>
      </w:r>
    </w:p>
    <w:p w:rsidR="00EE5358" w:rsidRDefault="00EE5358" w:rsidP="00EE5358">
      <w:r>
        <w:tab/>
        <w:t>(3)  marketing and promotion for events that would draw visitors to the property or Atlantic City, such as entertainment and conventions; and</w:t>
      </w:r>
    </w:p>
    <w:p w:rsidR="00EE5358" w:rsidRDefault="00EE5358" w:rsidP="00EE5358">
      <w:r>
        <w:tab/>
        <w:t>(4)  any other activity deemed by the State Treasurer or the division to be beneficial to the return of pre-emergency economic, gaming, and tourism levels to Atlantic City.</w:t>
      </w:r>
    </w:p>
    <w:p w:rsidR="00D46A92" w:rsidRDefault="00EE5358" w:rsidP="00EE5358">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 casino licensee’s failure to submit the report required under this subsection shall deem the licensee ineligible to receive the reduced tax liabilities under this act.</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r>
      <w:r w:rsidR="00EE5358">
        <w:rPr>
          <w:rFonts w:ascii="Albertus Extra Bold" w:hAnsi="Albertus Extra Bold"/>
          <w:b/>
          <w:vertAlign w:val="superscript"/>
        </w:rPr>
        <w:t>2</w:t>
      </w:r>
      <w:r w:rsidR="00EE5358" w:rsidRPr="00EE5358">
        <w:rPr>
          <w:rFonts w:ascii="Albertus Extra Bold" w:hAnsi="Albertus Extra Bold"/>
          <w:b/>
        </w:rPr>
        <w:t>[</w:t>
      </w:r>
      <w:r>
        <w:t>7.</w:t>
      </w:r>
      <w:r w:rsidR="00EE5358" w:rsidRPr="00EE5358">
        <w:rPr>
          <w:rFonts w:ascii="Albertus Extra Bold" w:hAnsi="Albertus Extra Bold"/>
          <w:b/>
        </w:rPr>
        <w:t>]</w:t>
      </w:r>
      <w:r w:rsidR="00EE5358">
        <w:t xml:space="preserve"> </w:t>
      </w:r>
      <w:r w:rsidR="00EE5358">
        <w:rPr>
          <w:u w:val="single"/>
        </w:rPr>
        <w:t>5.</w:t>
      </w:r>
      <w:r w:rsidR="00EE5358">
        <w:rPr>
          <w:rFonts w:ascii="Albertus Extra Bold" w:hAnsi="Albertus Extra Bold"/>
          <w:b/>
          <w:vertAlign w:val="superscript"/>
        </w:rPr>
        <w:t>2</w:t>
      </w:r>
      <w:r w:rsidR="001024F1">
        <w:tab/>
      </w:r>
      <w:r w:rsidR="0015151A">
        <w:t>Section 1 of P.L.2008, c.12 (C.</w:t>
      </w:r>
      <w:r w:rsidR="009023B6">
        <w:t>5:12-38a</w:t>
      </w:r>
      <w:r w:rsidR="0015151A">
        <w:t>) is amended to read as follows:</w:t>
      </w:r>
    </w:p>
    <w:p w:rsidR="00287963" w:rsidRDefault="009023B6" w:rsidP="00287963">
      <w:r>
        <w:tab/>
      </w:r>
      <w:r w:rsidR="001024F1">
        <w:t>1.</w:t>
      </w:r>
      <w:r w:rsidR="001024F1">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 xml:space="preserve">in the licensee's casino </w:t>
      </w:r>
      <w:r>
        <w:lastRenderedPageBreak/>
        <w:t>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w:t>
      </w:r>
    </w:p>
    <w:p w:rsidR="009023B6" w:rsidRDefault="005A367D" w:rsidP="009023B6">
      <w:r>
        <w:rPr>
          <w:u w:val="single"/>
        </w:rPr>
        <w:t xml:space="preserve">a </w:t>
      </w:r>
      <w:r w:rsidR="00287963">
        <w:rPr>
          <w:u w:val="single"/>
        </w:rPr>
        <w:t>g</w:t>
      </w:r>
      <w:r>
        <w:rPr>
          <w:u w:val="single"/>
        </w:rPr>
        <w:t>aming table,</w:t>
      </w:r>
      <w:r w:rsidR="009023B6">
        <w:t xml:space="preserve"> or in a sports pool in the licensee's casino or Internet gaming system.</w:t>
      </w:r>
    </w:p>
    <w:p w:rsidR="009023B6" w:rsidRDefault="005A367D" w:rsidP="0085542D">
      <w:r>
        <w:t>(</w:t>
      </w:r>
      <w:proofErr w:type="spellStart"/>
      <w:r>
        <w:t>cf</w:t>
      </w:r>
      <w:proofErr w:type="spellEnd"/>
      <w:r>
        <w:t>: P.L.2018, c.33, s.13)</w:t>
      </w:r>
    </w:p>
    <w:p w:rsidR="009023B6" w:rsidRDefault="009023B6" w:rsidP="0085542D"/>
    <w:p w:rsidR="0085542D" w:rsidRDefault="001024F1" w:rsidP="0085542D">
      <w:r>
        <w:tab/>
      </w:r>
      <w:r w:rsidR="00EE5358" w:rsidRPr="00EE5358">
        <w:rPr>
          <w:rFonts w:ascii="Albertus Extra Bold" w:hAnsi="Albertus Extra Bold"/>
          <w:b/>
          <w:vertAlign w:val="superscript"/>
        </w:rPr>
        <w:t>2</w:t>
      </w:r>
      <w:r w:rsidR="00EE5358" w:rsidRPr="00EE5358">
        <w:rPr>
          <w:rFonts w:ascii="Albertus Extra Bold" w:hAnsi="Albertus Extra Bold"/>
          <w:b/>
        </w:rPr>
        <w:t>[</w:t>
      </w:r>
      <w:r w:rsidRPr="00EE5358">
        <w:t>8</w:t>
      </w:r>
      <w:r>
        <w:t>.</w:t>
      </w:r>
      <w:r w:rsidR="00EE5358" w:rsidRPr="00EE5358">
        <w:rPr>
          <w:rFonts w:ascii="Albertus Extra Bold" w:hAnsi="Albertus Extra Bold"/>
          <w:b/>
        </w:rPr>
        <w:t>]</w:t>
      </w:r>
      <w:r w:rsidR="00EE5358">
        <w:t xml:space="preserve"> </w:t>
      </w:r>
      <w:r w:rsidR="00EE5358">
        <w:rPr>
          <w:u w:val="single"/>
        </w:rPr>
        <w:t>6.</w:t>
      </w:r>
      <w:r w:rsidR="00EE5358">
        <w:rPr>
          <w:rFonts w:ascii="Albertus Extra Bold" w:hAnsi="Albertus Extra Bold"/>
          <w:b/>
          <w:vertAlign w:val="superscript"/>
        </w:rPr>
        <w:t>2</w:t>
      </w:r>
      <w:r>
        <w:tab/>
      </w:r>
      <w:r w:rsidR="0085542D">
        <w:t>Section 2 of P.L.2008, c.12 (C.5:12-144.2) is amended to read as follows:</w:t>
      </w:r>
    </w:p>
    <w:p w:rsidR="0085542D" w:rsidRDefault="001024F1" w:rsidP="0085542D">
      <w:r>
        <w:tab/>
        <w:t>2.</w:t>
      </w:r>
      <w:r>
        <w:tab/>
      </w:r>
      <w:r w:rsidR="0085542D">
        <w:t>a.</w:t>
      </w:r>
      <w:r>
        <w:t xml:space="preserve"> </w:t>
      </w:r>
      <w:r w:rsidR="0085542D">
        <w:t xml:space="preserve"> 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in its annual tax return or (2) such other portion of the promotional gaming credits reported by all casino licensees as the division may allocate to a particular licensee to reflect that licensee's pro rata 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85542D" w:rsidP="0085542D">
      <w:r>
        <w:tab/>
        <w:t xml:space="preserve">d. </w:t>
      </w:r>
      <w:r w:rsidR="001024F1">
        <w:t xml:space="preserve"> </w:t>
      </w:r>
      <w:r w:rsidR="004529C3" w:rsidRPr="004529C3">
        <w:rPr>
          <w:rFonts w:ascii="Albertus Extra Bold" w:hAnsi="Albertus Extra Bold"/>
          <w:b/>
        </w:rPr>
        <w:t>[</w:t>
      </w:r>
      <w:r>
        <w:t xml:space="preserve">(1) The division shall establish, by regulation, procedures to ensure that the promotional gaming credit deduction established </w:t>
      </w:r>
      <w:r>
        <w:lastRenderedPageBreak/>
        <w:t>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tab/>
        <w:t>(2)</w:t>
      </w:r>
      <w:r>
        <w:tab/>
        <w:t>For the purposes of this subsection, "negative fiscal impact to the Casino Revenue Fund" shall mean that the amount generated from taxation of promotional gaming credits falls below the level 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   , c.</w:t>
      </w:r>
      <w:r w:rsidR="001024F1">
        <w:rPr>
          <w:u w:val="single"/>
        </w:rPr>
        <w:t>   </w:t>
      </w:r>
      <w:r w:rsidR="004529C3" w:rsidRPr="004529C3">
        <w:rPr>
          <w:u w:val="single"/>
        </w:rPr>
        <w:t>) (pending before the Legislature as this bill)</w:t>
      </w:r>
      <w:r w:rsidR="004529C3" w:rsidRPr="004529C3">
        <w:t xml:space="preserve">   </w:t>
      </w:r>
    </w:p>
    <w:p w:rsidR="008062CD" w:rsidRDefault="0085542D" w:rsidP="008062CD">
      <w:r>
        <w:t>(</w:t>
      </w:r>
      <w:proofErr w:type="spellStart"/>
      <w:r>
        <w:t>cf</w:t>
      </w:r>
      <w:proofErr w:type="spellEnd"/>
      <w:r>
        <w:t>: P.L.2011, c.19, s.100)</w:t>
      </w:r>
    </w:p>
    <w:p w:rsidR="008062CD" w:rsidRDefault="008062CD" w:rsidP="008062CD"/>
    <w:p w:rsidR="00D46A92" w:rsidRDefault="00D46A92" w:rsidP="008062CD">
      <w:r>
        <w:tab/>
      </w:r>
      <w:r w:rsidR="00EE5358">
        <w:rPr>
          <w:rFonts w:ascii="Albertus Extra Bold" w:hAnsi="Albertus Extra Bold"/>
          <w:b/>
          <w:vertAlign w:val="superscript"/>
        </w:rPr>
        <w:t>2</w:t>
      </w:r>
      <w:r w:rsidR="00EE5358" w:rsidRPr="00EE5358">
        <w:rPr>
          <w:rFonts w:ascii="Albertus Extra Bold" w:hAnsi="Albertus Extra Bold"/>
          <w:b/>
        </w:rPr>
        <w:t>[</w:t>
      </w:r>
      <w:r w:rsidR="009023B6">
        <w:t>9</w:t>
      </w:r>
      <w:r w:rsidR="001024F1">
        <w:t>.</w:t>
      </w:r>
      <w:r w:rsidR="00EE5358" w:rsidRPr="00EE5358">
        <w:rPr>
          <w:rFonts w:ascii="Albertus Extra Bold" w:hAnsi="Albertus Extra Bold"/>
          <w:b/>
        </w:rPr>
        <w:t>]</w:t>
      </w:r>
      <w:r w:rsidR="00EE5358">
        <w:t xml:space="preserve"> </w:t>
      </w:r>
      <w:r w:rsidR="00EE5358">
        <w:rPr>
          <w:u w:val="single"/>
        </w:rPr>
        <w:t>7.</w:t>
      </w:r>
      <w:r w:rsidR="00EE5358">
        <w:rPr>
          <w:rFonts w:ascii="Albertus Extra Bold" w:hAnsi="Albertus Extra Bold"/>
          <w:b/>
          <w:vertAlign w:val="superscript"/>
        </w:rPr>
        <w:t>2</w:t>
      </w:r>
      <w:r w:rsidR="001024F1">
        <w:tab/>
      </w:r>
      <w:r>
        <w:t xml:space="preserve">Notwithstanding the provisions of the “Casino Control Act,” P.L.1977, c.110 (C.5:12-1 et seq.), or any law, rule, or regulation to the contrary, the Casino Reinvestment Development Authority, established under P.L.1984, c.218 (C.5:12-153 et seq.), shall commit any available funds in that agency’s general fund to 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 xml:space="preserve">shall commence immediately upon the effective date of this act, P.L.   , c.    (pending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EE5358">
        <w:rPr>
          <w:rFonts w:ascii="Albertus Extra Bold" w:hAnsi="Albertus Extra Bold"/>
          <w:b/>
          <w:vertAlign w:val="superscript"/>
        </w:rPr>
        <w:t>2</w:t>
      </w:r>
      <w:r w:rsidR="00EE5358" w:rsidRPr="00EE5358">
        <w:rPr>
          <w:rFonts w:ascii="Albertus Extra Bold" w:hAnsi="Albertus Extra Bold"/>
          <w:b/>
        </w:rPr>
        <w:t>[</w:t>
      </w:r>
      <w:r>
        <w:t>10</w:t>
      </w:r>
      <w:r w:rsidR="001024F1">
        <w:t>.</w:t>
      </w:r>
      <w:r w:rsidR="00EE5358" w:rsidRPr="00EE5358">
        <w:rPr>
          <w:rFonts w:ascii="Albertus Extra Bold" w:hAnsi="Albertus Extra Bold"/>
          <w:b/>
        </w:rPr>
        <w:t>]</w:t>
      </w:r>
      <w:r w:rsidR="00EE5358">
        <w:t xml:space="preserve"> </w:t>
      </w:r>
      <w:r w:rsidR="00EE5358">
        <w:rPr>
          <w:u w:val="single"/>
        </w:rPr>
        <w:t>8.</w:t>
      </w:r>
      <w:r w:rsidR="00EE5358">
        <w:rPr>
          <w:rFonts w:ascii="Albertus Extra Bold" w:hAnsi="Albertus Extra Bold"/>
          <w:b/>
          <w:vertAlign w:val="superscript"/>
        </w:rPr>
        <w:t>2</w:t>
      </w:r>
      <w:r w:rsidR="001024F1">
        <w:tab/>
      </w:r>
      <w:r w:rsidR="00D46A92">
        <w:t xml:space="preserve">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87963" w:rsidRDefault="00287963"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r>
      <w:r w:rsidR="00EE5358">
        <w:rPr>
          <w:rFonts w:ascii="Albertus Extra Bold" w:hAnsi="Albertus Extra Bold"/>
          <w:b/>
          <w:vertAlign w:val="superscript"/>
        </w:rPr>
        <w:t>2</w:t>
      </w:r>
      <w:r w:rsidR="00EE5358" w:rsidRPr="00EE5358">
        <w:rPr>
          <w:rFonts w:ascii="Albertus Extra Bold" w:hAnsi="Albertus Extra Bold"/>
          <w:b/>
        </w:rPr>
        <w:t>[</w:t>
      </w:r>
      <w:r>
        <w:rPr>
          <w:rFonts w:ascii="Albertus Extra Bold" w:hAnsi="Albertus Extra Bold"/>
          <w:b/>
          <w:vertAlign w:val="superscript"/>
        </w:rPr>
        <w:t>1</w:t>
      </w:r>
      <w:r>
        <w:t>11</w:t>
      </w:r>
      <w:r w:rsidRPr="007958FC">
        <w:t>.</w:t>
      </w:r>
      <w:r w:rsidR="00EE5358" w:rsidRPr="00EE5358">
        <w:rPr>
          <w:rFonts w:ascii="Albertus Extra Bold" w:hAnsi="Albertus Extra Bold"/>
          <w:b/>
        </w:rPr>
        <w:t>]</w:t>
      </w:r>
      <w:r w:rsidR="00EE5358">
        <w:t xml:space="preserve"> </w:t>
      </w:r>
      <w:r w:rsidR="00EE5358">
        <w:rPr>
          <w:u w:val="single"/>
        </w:rPr>
        <w:t>9.</w:t>
      </w:r>
      <w:r w:rsidR="00EE5358">
        <w:rPr>
          <w:rFonts w:ascii="Albertus Extra Bold" w:hAnsi="Albertus Extra Bold"/>
          <w:b/>
          <w:vertAlign w:val="superscript"/>
        </w:rPr>
        <w:t>2</w:t>
      </w:r>
      <w:r>
        <w:t xml:space="preserve">  </w:t>
      </w:r>
      <w:r w:rsidRPr="00994465">
        <w:t xml:space="preserve">There is appropriated from the General Fund to the New Jersey Economic Development Authority the sum of $100 million from a portion of those federal block grant funds allocated to the State from the federal “Coronavirus Relief Fund,” established pursuant to the federal </w:t>
      </w:r>
      <w:r>
        <w:t>“</w:t>
      </w:r>
      <w:r w:rsidRPr="00994465">
        <w:t xml:space="preserve">Coronavirus Aid, Relief, and Economic Security Act,” Pub.L.116-136, for use by the authority to provide </w:t>
      </w:r>
      <w:r w:rsidRPr="00994465">
        <w:lastRenderedPageBreak/>
        <w:t xml:space="preserve">financial support, such as loans or grants, to small businesses for the costs associated with business operation interruptions caused by any State-required closures due to the impacts of </w:t>
      </w:r>
      <w:r>
        <w:t>the COVID-19 pandemic</w:t>
      </w:r>
      <w:r w:rsidRPr="00994465">
        <w:t>.</w:t>
      </w:r>
      <w:r>
        <w:rPr>
          <w:rFonts w:ascii="Albertus Extra Bold" w:hAnsi="Albertus Extra Bold"/>
          <w:b/>
          <w:vertAlign w:val="superscript"/>
        </w:rPr>
        <w:t>1</w:t>
      </w:r>
    </w:p>
    <w:p w:rsidR="00CC0291" w:rsidRDefault="00CC029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p>
    <w:p w:rsidR="00812E8D" w:rsidRPr="00676252" w:rsidRDefault="00812E8D" w:rsidP="00812E8D">
      <w:r w:rsidRPr="00676252">
        <w:tab/>
      </w:r>
      <w:r>
        <w:rPr>
          <w:rFonts w:ascii="Albertus Extra Bold" w:hAnsi="Albertus Extra Bold"/>
          <w:b/>
          <w:vertAlign w:val="superscript"/>
        </w:rPr>
        <w:t>2</w:t>
      </w:r>
      <w:r w:rsidRPr="00676252">
        <w:t>1</w:t>
      </w:r>
      <w:r>
        <w:t>0</w:t>
      </w:r>
      <w:r w:rsidRPr="00676252">
        <w:t>.  Section 4 of P.L.1983, c.578 (C.27:25-28) is amended to read as follows:</w:t>
      </w:r>
    </w:p>
    <w:p w:rsidR="00812E8D" w:rsidRPr="00676252" w:rsidRDefault="00812E8D" w:rsidP="00812E8D">
      <w:r w:rsidRPr="00676252">
        <w:tab/>
        <w:t xml:space="preserve">4. </w:t>
      </w:r>
      <w:r w:rsidR="003704CF">
        <w:t xml:space="preserve"> </w:t>
      </w:r>
      <w:r w:rsidRPr="00676252">
        <w:t>a. The board shall establish and administer a program to be known as "The Senior Citizen and Disabled Resident Transportation Assistance Program" for the following purposes:</w:t>
      </w:r>
    </w:p>
    <w:p w:rsidR="00812E8D" w:rsidRPr="00676252" w:rsidRDefault="00812E8D" w:rsidP="00812E8D">
      <w:r w:rsidRPr="00676252">
        <w:tab/>
        <w:t>(1)</w:t>
      </w:r>
      <w:r w:rsidRPr="00676252">
        <w:tab/>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812E8D" w:rsidRPr="00676252" w:rsidRDefault="00812E8D" w:rsidP="00812E8D">
      <w:r w:rsidRPr="00676252">
        <w:tab/>
        <w:t xml:space="preserve"> (2)</w:t>
      </w:r>
      <w:r w:rsidRPr="00676252">
        <w:tab/>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812E8D" w:rsidRDefault="00812E8D" w:rsidP="00812E8D">
      <w:r w:rsidRPr="00676252">
        <w:tab/>
        <w:t>b.</w:t>
      </w:r>
      <w:r w:rsidRPr="00676252">
        <w:tab/>
        <w:t>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8.5% of the revenues deposited in the fund during the preceding fiscal year, as determined by the State Treasurer, to effectuate the purposes and provisions of P.L.1983, c.578 (C.27:25-25 et seq.).</w:t>
      </w:r>
    </w:p>
    <w:p w:rsidR="00812E8D" w:rsidRPr="007A5696" w:rsidRDefault="00812E8D" w:rsidP="00812E8D">
      <w:r>
        <w:tab/>
      </w:r>
      <w:r>
        <w:rPr>
          <w:u w:val="single"/>
        </w:rPr>
        <w:t>Notwithstanding the provisions of any other law, rule, or regulation to the contrary, f</w:t>
      </w:r>
      <w:r w:rsidRPr="00B47ADA">
        <w:rPr>
          <w:u w:val="single"/>
        </w:rPr>
        <w:t xml:space="preserve">or the State Fiscal Year 2021, </w:t>
      </w:r>
      <w:r>
        <w:rPr>
          <w:u w:val="single"/>
        </w:rPr>
        <w:t xml:space="preserve">appropriations to the corporation from the revenues deposited in the </w:t>
      </w:r>
      <w:r w:rsidRPr="00B47ADA">
        <w:rPr>
          <w:u w:val="single"/>
        </w:rPr>
        <w:t xml:space="preserve">Casino Revenue Fund </w:t>
      </w:r>
      <w:r>
        <w:rPr>
          <w:u w:val="single"/>
        </w:rPr>
        <w:t xml:space="preserve">shall be given priority to ensure </w:t>
      </w:r>
      <w:r w:rsidRPr="00B47ADA">
        <w:rPr>
          <w:u w:val="single"/>
        </w:rPr>
        <w:t xml:space="preserve">that </w:t>
      </w:r>
      <w:r>
        <w:rPr>
          <w:u w:val="single"/>
        </w:rPr>
        <w:t xml:space="preserve">the </w:t>
      </w:r>
      <w:r w:rsidRPr="00B47ADA">
        <w:rPr>
          <w:u w:val="single"/>
        </w:rPr>
        <w:t>corporation receive</w:t>
      </w:r>
      <w:r>
        <w:rPr>
          <w:u w:val="single"/>
        </w:rPr>
        <w:t>s</w:t>
      </w:r>
      <w:r w:rsidRPr="00B47ADA">
        <w:rPr>
          <w:u w:val="single"/>
        </w:rPr>
        <w:t xml:space="preserve"> an amount equal to 8.5% of the revenues deposited in the fund during the State Fiscal Year 2019, as determined by the State Treasurer, to effectuate the purposes and provisions of P.L.1983, c.578 (C.27:25-25 et seq.).</w:t>
      </w:r>
      <w:r w:rsidRPr="009D2348">
        <w:rPr>
          <w:rFonts w:ascii="Albertus Extra Bold" w:hAnsi="Albertus Extra Bold"/>
          <w:b/>
          <w:vertAlign w:val="superscript"/>
        </w:rPr>
        <w:t>2</w:t>
      </w:r>
    </w:p>
    <w:p w:rsidR="00812E8D" w:rsidRDefault="00812E8D" w:rsidP="00812E8D">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w:t>
      </w:r>
      <w:proofErr w:type="spellStart"/>
      <w:r>
        <w:t>cf</w:t>
      </w:r>
      <w:proofErr w:type="spellEnd"/>
      <w:r>
        <w:t>: P.L.</w:t>
      </w:r>
      <w:r w:rsidRPr="00676252">
        <w:t>2009, c.261, s.1</w:t>
      </w:r>
      <w:r>
        <w:t>)</w:t>
      </w:r>
    </w:p>
    <w:p w:rsidR="00812E8D" w:rsidRPr="00287963" w:rsidRDefault="00812E8D"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p>
    <w:p w:rsidR="00686AEB"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287963">
        <w:rPr>
          <w:rFonts w:ascii="Albertus Extra Bold" w:hAnsi="Albertus Extra Bold"/>
          <w:b/>
          <w:vertAlign w:val="superscript"/>
        </w:rPr>
        <w:t>1</w:t>
      </w:r>
      <w:r w:rsidR="00287963" w:rsidRPr="00287963">
        <w:rPr>
          <w:rFonts w:ascii="Albertus Extra Bold" w:hAnsi="Albertus Extra Bold"/>
          <w:b/>
        </w:rPr>
        <w:t>[</w:t>
      </w:r>
      <w:r>
        <w:t>11</w:t>
      </w:r>
      <w:r w:rsidR="001024F1">
        <w:t>.</w:t>
      </w:r>
      <w:r w:rsidR="00287963" w:rsidRPr="00287963">
        <w:rPr>
          <w:rFonts w:ascii="Albertus Extra Bold" w:hAnsi="Albertus Extra Bold"/>
          <w:b/>
        </w:rPr>
        <w:t>]</w:t>
      </w:r>
      <w:r w:rsidR="00380E94">
        <w:rPr>
          <w:rFonts w:ascii="Albertus Extra Bold" w:hAnsi="Albertus Extra Bold"/>
          <w:b/>
          <w:vertAlign w:val="superscript"/>
        </w:rPr>
        <w:t>2</w:t>
      </w:r>
      <w:r w:rsidR="00380E94" w:rsidRPr="00380E94">
        <w:rPr>
          <w:rFonts w:ascii="Albertus Extra Bold" w:hAnsi="Albertus Extra Bold"/>
          <w:b/>
        </w:rPr>
        <w:t>[</w:t>
      </w:r>
      <w:r w:rsidR="00287963" w:rsidRPr="00287963">
        <w:rPr>
          <w:u w:val="single"/>
        </w:rPr>
        <w:t>12.</w:t>
      </w:r>
      <w:r w:rsidR="00287963">
        <w:rPr>
          <w:rFonts w:ascii="Albertus Extra Bold" w:hAnsi="Albertus Extra Bold"/>
          <w:b/>
          <w:vertAlign w:val="superscript"/>
        </w:rPr>
        <w:t>1</w:t>
      </w:r>
      <w:r w:rsidR="00812E8D" w:rsidRPr="00812E8D">
        <w:rPr>
          <w:rFonts w:ascii="Albertus Extra Bold" w:hAnsi="Albertus Extra Bold"/>
          <w:b/>
        </w:rPr>
        <w:t>]</w:t>
      </w:r>
      <w:r w:rsidR="00287963">
        <w:t xml:space="preserve"> </w:t>
      </w:r>
      <w:r w:rsidR="00812E8D">
        <w:rPr>
          <w:u w:val="single"/>
        </w:rPr>
        <w:t>11.</w:t>
      </w:r>
      <w:r w:rsidR="00812E8D">
        <w:rPr>
          <w:rFonts w:ascii="Albertus Extra Bold" w:hAnsi="Albertus Extra Bold"/>
          <w:b/>
          <w:vertAlign w:val="superscript"/>
        </w:rPr>
        <w:t>2</w:t>
      </w:r>
      <w:r w:rsidR="00812E8D">
        <w:t xml:space="preserve">  </w:t>
      </w:r>
      <w:r w:rsidR="00D46A92">
        <w:t>This act shall take effect immediately.</w:t>
      </w:r>
    </w:p>
    <w:sectPr w:rsidR="00686AEB" w:rsidSect="00CC0291">
      <w:headerReference w:type="default" r:id="rId14"/>
      <w:footerReference w:type="default" r:id="rId15"/>
      <w:headerReference w:type="first" r:id="rId16"/>
      <w:footerReference w:type="first" r:id="rId17"/>
      <w:pgSz w:w="12240" w:h="20160" w:code="5"/>
      <w:pgMar w:top="1440" w:right="2520" w:bottom="1620" w:left="2880" w:header="1181" w:footer="7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E4E" w:rsidRDefault="00A860D1" w:rsidP="00A860D1">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D" w:rsidRPr="00921C91" w:rsidRDefault="008062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2CD" w:rsidRPr="00921C91" w:rsidRDefault="008062CD">
    <w:pPr>
      <w:pStyle w:val="Footer"/>
      <w:rPr>
        <w:szCs w:val="18"/>
      </w:rPr>
    </w:pPr>
  </w:p>
  <w:p w:rsidR="008062CD" w:rsidRPr="00921C91" w:rsidRDefault="008062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963" w:rsidRDefault="00287963" w:rsidP="00686AEB">
    <w:pPr>
      <w:pStyle w:val="Footer"/>
    </w:pPr>
    <w:r>
      <w:tab/>
      <w:t>Matter enclosed in superscript numerals has been adopted as follows:</w:t>
    </w:r>
  </w:p>
  <w:p w:rsidR="00157A5B" w:rsidRDefault="002879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11, 2020.</w:t>
    </w:r>
  </w:p>
  <w:p w:rsidR="00287963" w:rsidRDefault="00157A5B" w:rsidP="00686AEB">
    <w:pPr>
      <w:pStyle w:val="Footer"/>
      <w:rPr>
        <w:rFonts w:ascii="AlbertusExtraBold" w:hAnsi="AlbertusExtraBold"/>
      </w:rPr>
    </w:pPr>
    <w:r>
      <w:rPr>
        <w:rFonts w:ascii="AlbertusExtraBold" w:hAnsi="AlbertusExtraBold"/>
        <w:vertAlign w:val="superscript"/>
      </w:rPr>
      <w:tab/>
      <w:t>2</w:t>
    </w:r>
    <w:r>
      <w:rPr>
        <w:rFonts w:ascii="AlbertusExtraBold" w:hAnsi="AlbertusExtraBold"/>
      </w:rPr>
      <w:t>Senate floor amendments adopted June 15, 2020.</w:t>
    </w:r>
  </w:p>
  <w:p w:rsidR="00157A5B" w:rsidRPr="00157A5B" w:rsidRDefault="00157A5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49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07C" w:rsidRDefault="009B607C" w:rsidP="009B607C">
    <w:pPr>
      <w:pStyle w:val="bpuHeadSpon"/>
    </w:pPr>
    <w:r w:rsidRPr="009B607C">
      <w:rPr>
        <w:rStyle w:val="bpuHeadSponChar"/>
      </w:rPr>
      <w:t>S2400</w:t>
    </w:r>
    <w:r>
      <w:t xml:space="preserve"> </w:t>
    </w:r>
    <w:r w:rsidR="00157A5B">
      <w:t>[2R]</w:t>
    </w:r>
    <w:r w:rsidR="00287963">
      <w:t xml:space="preserve">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AD4999">
      <w:rPr>
        <w:noProof/>
      </w:rPr>
      <w:t>4</w:t>
    </w:r>
    <w:r>
      <w:fldChar w:fldCharType="end"/>
    </w:r>
  </w:p>
  <w:p w:rsidR="009B607C" w:rsidRDefault="009B607C" w:rsidP="009B6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07C" w:rsidRDefault="009B607C" w:rsidP="009B607C">
    <w:pPr>
      <w:pStyle w:val="bpuHeadSpon"/>
    </w:pPr>
    <w:r w:rsidRPr="009B607C">
      <w:rPr>
        <w:rStyle w:val="bpuHeadSponChar"/>
      </w:rPr>
      <w:t>S2400</w:t>
    </w:r>
    <w:r>
      <w:t xml:space="preserve"> </w:t>
    </w:r>
    <w:r w:rsidR="00157A5B">
      <w:t>[2R]</w:t>
    </w:r>
    <w:r w:rsidR="00287963">
      <w:t xml:space="preserve">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AD4999">
      <w:rPr>
        <w:noProof/>
      </w:rPr>
      <w:t>2</w:t>
    </w:r>
    <w:r>
      <w:fldChar w:fldCharType="end"/>
    </w:r>
  </w:p>
  <w:p w:rsidR="009B607C" w:rsidRDefault="009B607C" w:rsidP="009B6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335B"/>
    <w:rsid w:val="0003549A"/>
    <w:rsid w:val="000367AE"/>
    <w:rsid w:val="00043B22"/>
    <w:rsid w:val="00054975"/>
    <w:rsid w:val="00057D20"/>
    <w:rsid w:val="0006197C"/>
    <w:rsid w:val="0006281F"/>
    <w:rsid w:val="0008141C"/>
    <w:rsid w:val="000861C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4F1"/>
    <w:rsid w:val="0013000E"/>
    <w:rsid w:val="00133F81"/>
    <w:rsid w:val="00135943"/>
    <w:rsid w:val="0015151A"/>
    <w:rsid w:val="00157A5B"/>
    <w:rsid w:val="00162C45"/>
    <w:rsid w:val="001645FB"/>
    <w:rsid w:val="00173D2B"/>
    <w:rsid w:val="00181676"/>
    <w:rsid w:val="00183603"/>
    <w:rsid w:val="00194E78"/>
    <w:rsid w:val="001963B8"/>
    <w:rsid w:val="0019707B"/>
    <w:rsid w:val="00197E8B"/>
    <w:rsid w:val="00197FA4"/>
    <w:rsid w:val="001A161A"/>
    <w:rsid w:val="001A3B79"/>
    <w:rsid w:val="001A66B6"/>
    <w:rsid w:val="001B2274"/>
    <w:rsid w:val="001B4716"/>
    <w:rsid w:val="001B4EA4"/>
    <w:rsid w:val="001C5ECA"/>
    <w:rsid w:val="001C7C52"/>
    <w:rsid w:val="001D25F3"/>
    <w:rsid w:val="001D2AAE"/>
    <w:rsid w:val="001E15F1"/>
    <w:rsid w:val="001E16FA"/>
    <w:rsid w:val="001E6213"/>
    <w:rsid w:val="001F14C7"/>
    <w:rsid w:val="001F7405"/>
    <w:rsid w:val="00200776"/>
    <w:rsid w:val="00205533"/>
    <w:rsid w:val="00212B8D"/>
    <w:rsid w:val="00222983"/>
    <w:rsid w:val="00224F4A"/>
    <w:rsid w:val="002370D0"/>
    <w:rsid w:val="00255958"/>
    <w:rsid w:val="00257FA2"/>
    <w:rsid w:val="00263144"/>
    <w:rsid w:val="0026574A"/>
    <w:rsid w:val="002660BB"/>
    <w:rsid w:val="002720E8"/>
    <w:rsid w:val="00275293"/>
    <w:rsid w:val="002776B0"/>
    <w:rsid w:val="00286C7E"/>
    <w:rsid w:val="00287963"/>
    <w:rsid w:val="002A1029"/>
    <w:rsid w:val="002A3A1A"/>
    <w:rsid w:val="002A4692"/>
    <w:rsid w:val="002A51BA"/>
    <w:rsid w:val="002B2E26"/>
    <w:rsid w:val="002B3FE6"/>
    <w:rsid w:val="002C2D81"/>
    <w:rsid w:val="002C461E"/>
    <w:rsid w:val="002C6CEC"/>
    <w:rsid w:val="002E09CE"/>
    <w:rsid w:val="002E227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4CF"/>
    <w:rsid w:val="00370617"/>
    <w:rsid w:val="00380E94"/>
    <w:rsid w:val="00382F1F"/>
    <w:rsid w:val="00384B59"/>
    <w:rsid w:val="00384CF7"/>
    <w:rsid w:val="00391DA4"/>
    <w:rsid w:val="003A3C64"/>
    <w:rsid w:val="003A3F83"/>
    <w:rsid w:val="003B7B3E"/>
    <w:rsid w:val="003C43EF"/>
    <w:rsid w:val="003C5A6B"/>
    <w:rsid w:val="003C7FB2"/>
    <w:rsid w:val="003D24DE"/>
    <w:rsid w:val="003D2616"/>
    <w:rsid w:val="003D5203"/>
    <w:rsid w:val="003E26D4"/>
    <w:rsid w:val="003E47BA"/>
    <w:rsid w:val="003F3B37"/>
    <w:rsid w:val="0040195A"/>
    <w:rsid w:val="00402DC0"/>
    <w:rsid w:val="00416C4B"/>
    <w:rsid w:val="0041751E"/>
    <w:rsid w:val="004211E5"/>
    <w:rsid w:val="00422091"/>
    <w:rsid w:val="00424E4D"/>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693"/>
    <w:rsid w:val="0054460F"/>
    <w:rsid w:val="005536CD"/>
    <w:rsid w:val="00554051"/>
    <w:rsid w:val="00554683"/>
    <w:rsid w:val="00557240"/>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B7E"/>
    <w:rsid w:val="00645E6A"/>
    <w:rsid w:val="00665CBC"/>
    <w:rsid w:val="00667A5C"/>
    <w:rsid w:val="00674A31"/>
    <w:rsid w:val="006763D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D4"/>
    <w:rsid w:val="00781B4D"/>
    <w:rsid w:val="007824BF"/>
    <w:rsid w:val="00783B8D"/>
    <w:rsid w:val="00794A5D"/>
    <w:rsid w:val="00794B94"/>
    <w:rsid w:val="00794BD4"/>
    <w:rsid w:val="007A2F73"/>
    <w:rsid w:val="007A3061"/>
    <w:rsid w:val="007A5A0B"/>
    <w:rsid w:val="007C0E14"/>
    <w:rsid w:val="007C7DE4"/>
    <w:rsid w:val="007D40CB"/>
    <w:rsid w:val="007D5796"/>
    <w:rsid w:val="007D59C0"/>
    <w:rsid w:val="007D7D9C"/>
    <w:rsid w:val="007F485D"/>
    <w:rsid w:val="007F6050"/>
    <w:rsid w:val="008062CD"/>
    <w:rsid w:val="00812E8D"/>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77BD"/>
    <w:rsid w:val="008E454C"/>
    <w:rsid w:val="008F1D8B"/>
    <w:rsid w:val="008F1E5A"/>
    <w:rsid w:val="008F22D1"/>
    <w:rsid w:val="008F6B43"/>
    <w:rsid w:val="00901BDA"/>
    <w:rsid w:val="009023B6"/>
    <w:rsid w:val="009121D8"/>
    <w:rsid w:val="0091621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E60"/>
    <w:rsid w:val="009835D4"/>
    <w:rsid w:val="009865D4"/>
    <w:rsid w:val="0099136A"/>
    <w:rsid w:val="00997152"/>
    <w:rsid w:val="009972CD"/>
    <w:rsid w:val="009A0ADD"/>
    <w:rsid w:val="009A0E9C"/>
    <w:rsid w:val="009A45DA"/>
    <w:rsid w:val="009A733B"/>
    <w:rsid w:val="009B06D2"/>
    <w:rsid w:val="009B34EC"/>
    <w:rsid w:val="009B5D67"/>
    <w:rsid w:val="009B607C"/>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51D6"/>
    <w:rsid w:val="00A5588E"/>
    <w:rsid w:val="00A6251B"/>
    <w:rsid w:val="00A64FF5"/>
    <w:rsid w:val="00A6754E"/>
    <w:rsid w:val="00A70F58"/>
    <w:rsid w:val="00A72987"/>
    <w:rsid w:val="00A7346B"/>
    <w:rsid w:val="00A76CC6"/>
    <w:rsid w:val="00A84C4F"/>
    <w:rsid w:val="00A860D1"/>
    <w:rsid w:val="00A932A1"/>
    <w:rsid w:val="00A96E06"/>
    <w:rsid w:val="00AA6197"/>
    <w:rsid w:val="00AA6C70"/>
    <w:rsid w:val="00AB16FD"/>
    <w:rsid w:val="00AB4813"/>
    <w:rsid w:val="00AB671B"/>
    <w:rsid w:val="00AC6466"/>
    <w:rsid w:val="00AC7639"/>
    <w:rsid w:val="00AD08BB"/>
    <w:rsid w:val="00AD0EC0"/>
    <w:rsid w:val="00AD499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57047"/>
    <w:rsid w:val="00B61D86"/>
    <w:rsid w:val="00B6342D"/>
    <w:rsid w:val="00B726BD"/>
    <w:rsid w:val="00B732BC"/>
    <w:rsid w:val="00B80173"/>
    <w:rsid w:val="00B90E33"/>
    <w:rsid w:val="00B9676B"/>
    <w:rsid w:val="00BA0E4E"/>
    <w:rsid w:val="00BA2E67"/>
    <w:rsid w:val="00BA2EA5"/>
    <w:rsid w:val="00BA364B"/>
    <w:rsid w:val="00BB1190"/>
    <w:rsid w:val="00BB31D0"/>
    <w:rsid w:val="00BB3A11"/>
    <w:rsid w:val="00BB4DDB"/>
    <w:rsid w:val="00BB5D79"/>
    <w:rsid w:val="00BB5F02"/>
    <w:rsid w:val="00BC5BA3"/>
    <w:rsid w:val="00BC7258"/>
    <w:rsid w:val="00BC7892"/>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291"/>
    <w:rsid w:val="00CC0A17"/>
    <w:rsid w:val="00CC1875"/>
    <w:rsid w:val="00CD0F93"/>
    <w:rsid w:val="00CD1BD1"/>
    <w:rsid w:val="00CD528D"/>
    <w:rsid w:val="00CE78BF"/>
    <w:rsid w:val="00CF65EB"/>
    <w:rsid w:val="00CF72AD"/>
    <w:rsid w:val="00D02441"/>
    <w:rsid w:val="00D039F4"/>
    <w:rsid w:val="00D10496"/>
    <w:rsid w:val="00D11173"/>
    <w:rsid w:val="00D1215F"/>
    <w:rsid w:val="00D1413C"/>
    <w:rsid w:val="00D16561"/>
    <w:rsid w:val="00D17FF8"/>
    <w:rsid w:val="00D268AC"/>
    <w:rsid w:val="00D27FF3"/>
    <w:rsid w:val="00D343D0"/>
    <w:rsid w:val="00D3664D"/>
    <w:rsid w:val="00D402BC"/>
    <w:rsid w:val="00D44EFC"/>
    <w:rsid w:val="00D46A92"/>
    <w:rsid w:val="00D500E9"/>
    <w:rsid w:val="00D507BC"/>
    <w:rsid w:val="00D6090A"/>
    <w:rsid w:val="00D62FA3"/>
    <w:rsid w:val="00D63B6F"/>
    <w:rsid w:val="00D64A90"/>
    <w:rsid w:val="00D662C5"/>
    <w:rsid w:val="00D72A6C"/>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932290"/>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607C"/>
  </w:style>
  <w:style w:type="paragraph" w:styleId="BalloonText">
    <w:name w:val="Balloon Text"/>
    <w:basedOn w:val="Normal"/>
    <w:link w:val="BalloonTextChar"/>
    <w:semiHidden/>
    <w:unhideWhenUsed/>
    <w:rsid w:val="00200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0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8AAFE-9970-4DE0-BF31-216E2549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3198</Words>
  <Characters>16480</Characters>
  <Application>Microsoft Office Word</Application>
  <DocSecurity>0</DocSecurity>
  <Lines>359</Lines>
  <Paragraphs>61</Paragraphs>
  <ScaleCrop>false</ScaleCrop>
  <HeadingPairs>
    <vt:vector size="2" baseType="variant">
      <vt:variant>
        <vt:lpstr>Title</vt:lpstr>
      </vt:variant>
      <vt:variant>
        <vt:i4>1</vt:i4>
      </vt:variant>
    </vt:vector>
  </HeadingPairs>
  <TitlesOfParts>
    <vt:vector size="1" baseType="lpstr">
      <vt:lpstr>S2400 2R</vt:lpstr>
    </vt:vector>
  </TitlesOfParts>
  <Manager>R56</Manager>
  <Company>NJ Office of Legislative Services</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2R</dc:title>
  <dc:subject/>
  <dc:creator>Senator  SWEENEY and BROWN</dc:creator>
  <cp:keywords>S2400|8|RF |265|297|297|!|0|</cp:keywords>
  <dc:description>INTRODUCED MAY 7, 2020_x000d_
AMENDED JUNE 11, 2020_x000d_
Amended June 15, 2020</dc:description>
  <cp:lastModifiedBy>Todaro, Vivian</cp:lastModifiedBy>
  <cp:revision>2</cp:revision>
  <cp:lastPrinted>2020-06-15T21:39:00Z</cp:lastPrinted>
  <dcterms:created xsi:type="dcterms:W3CDTF">2020-06-15T21:39:00Z</dcterms:created>
  <dcterms:modified xsi:type="dcterms:W3CDTF">2020-06-15T21:39:00Z</dcterms:modified>
  <cp:category>§§ 1 through 6, 9, and 10: T&amp;E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