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40C0F" w14:textId="44AF713E" w:rsidR="00580479" w:rsidRDefault="00580479" w:rsidP="00580479">
      <w:pPr>
        <w:pStyle w:val="bpuReprint"/>
      </w:pPr>
      <w:bookmarkStart w:id="0" w:name="bpuFrontPg"/>
      <w:bookmarkStart w:id="1" w:name="_GoBack"/>
      <w:bookmarkEnd w:id="0"/>
      <w:bookmarkEnd w:id="1"/>
      <w:r>
        <w:t>[First Reprint]</w:t>
      </w:r>
    </w:p>
    <w:p w14:paraId="43332E5C" w14:textId="2B882AF0" w:rsidR="00E92A76" w:rsidRDefault="00E92A76" w:rsidP="00E92A76">
      <w:pPr>
        <w:pStyle w:val="bpuBill"/>
      </w:pPr>
      <w:r>
        <w:t xml:space="preserve">SENATE, No. 2412 </w:t>
      </w:r>
    </w:p>
    <w:p w14:paraId="4FE561DD" w14:textId="43A097E3" w:rsidR="00E92A76" w:rsidRPr="009D38FF" w:rsidRDefault="00E92A76" w:rsidP="00E92A76">
      <w:pPr>
        <w:pStyle w:val="bpuWpGraphic"/>
      </w:pPr>
      <w:r>
        <w:object w:dxaOrig="8985" w:dyaOrig="255" w14:anchorId="2DE84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58261" r:id="rId7"/>
        </w:object>
      </w:r>
    </w:p>
    <w:p w14:paraId="3ACF9EB1" w14:textId="77777777" w:rsidR="00E92A76" w:rsidRDefault="00E92A76" w:rsidP="00E92A76">
      <w:pPr>
        <w:pStyle w:val="bpuState"/>
      </w:pPr>
      <w:r>
        <w:t>STATE OF NEW JERSEY</w:t>
      </w:r>
    </w:p>
    <w:p w14:paraId="4BE6652F" w14:textId="77777777" w:rsidR="00E92A76" w:rsidRDefault="00E92A76" w:rsidP="00E92A76">
      <w:pPr>
        <w:pStyle w:val="bpuLegislature"/>
      </w:pPr>
      <w:r>
        <w:t>219th LEGISLATURE</w:t>
      </w:r>
    </w:p>
    <w:p w14:paraId="4410088D" w14:textId="72A66D6F" w:rsidR="00E92A76" w:rsidRDefault="00E92A76" w:rsidP="00E92A76">
      <w:pPr>
        <w:pStyle w:val="bpuWpGraphic"/>
      </w:pPr>
      <w:r>
        <w:object w:dxaOrig="8985" w:dyaOrig="255" w14:anchorId="60C4A2CD">
          <v:shape id="_x0000_i1026" type="#_x0000_t75" style="width:6in;height:12pt" o:ole="">
            <v:imagedata r:id="rId6" o:title=""/>
          </v:shape>
          <o:OLEObject Type="Embed" ProgID="WPWin6.1" ShapeID="_x0000_i1026" DrawAspect="Content" ObjectID="_1654958262" r:id="rId8"/>
        </w:object>
      </w:r>
      <w:r>
        <w:t xml:space="preserve">  </w:t>
      </w:r>
    </w:p>
    <w:p w14:paraId="56E9A0C2" w14:textId="77777777" w:rsidR="00E92A76" w:rsidRDefault="00E92A76" w:rsidP="00E92A76">
      <w:pPr>
        <w:pStyle w:val="bpuIntro"/>
      </w:pPr>
      <w:r>
        <w:t>INTRODUCED MAY 7, 2020</w:t>
      </w:r>
    </w:p>
    <w:p w14:paraId="49F5FC17" w14:textId="77777777" w:rsidR="00E92A76" w:rsidRDefault="00E92A76" w:rsidP="00E92A76">
      <w:pPr>
        <w:pStyle w:val="bpuIntro"/>
      </w:pPr>
    </w:p>
    <w:p w14:paraId="0D261FF3" w14:textId="77777777" w:rsidR="00E92A76" w:rsidRDefault="00E92A76" w:rsidP="00E92A76">
      <w:pPr>
        <w:pStyle w:val="bpuIntro"/>
        <w:sectPr w:rsidR="00E92A76" w:rsidSect="00C05A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1A480D0" w14:textId="77777777" w:rsidR="00E92A76" w:rsidRDefault="00E92A76" w:rsidP="00E92A76">
      <w:pPr>
        <w:pStyle w:val="bpuIntro"/>
      </w:pPr>
    </w:p>
    <w:p w14:paraId="50D165EB" w14:textId="77777777" w:rsidR="00E92A76" w:rsidRDefault="00E92A76" w:rsidP="00E92A76">
      <w:pPr>
        <w:pStyle w:val="bpuSponsor"/>
      </w:pPr>
      <w:r>
        <w:t>Sponsored by:</w:t>
      </w:r>
    </w:p>
    <w:p w14:paraId="6A7EFB03" w14:textId="77777777" w:rsidR="00E92A76" w:rsidRDefault="00E92A76" w:rsidP="00E92A76">
      <w:pPr>
        <w:pStyle w:val="bpuSponsor"/>
      </w:pPr>
      <w:r>
        <w:t>Senator  JOSEPH P. CRYAN</w:t>
      </w:r>
    </w:p>
    <w:p w14:paraId="786C0E5F" w14:textId="77777777" w:rsidR="00E92A76" w:rsidRDefault="00E92A76" w:rsidP="00E92A76">
      <w:pPr>
        <w:pStyle w:val="bpuSponsor"/>
      </w:pPr>
      <w:r>
        <w:t>District 20 (Union)</w:t>
      </w:r>
    </w:p>
    <w:p w14:paraId="0DC46965" w14:textId="77777777" w:rsidR="004629C9" w:rsidRPr="004629C9" w:rsidRDefault="004629C9" w:rsidP="004629C9">
      <w:pPr>
        <w:pStyle w:val="bpuSponsor"/>
      </w:pPr>
    </w:p>
    <w:p w14:paraId="6FC49C6F" w14:textId="6A64B70F" w:rsidR="00E92A76" w:rsidRDefault="003655C2" w:rsidP="003655C2">
      <w:pPr>
        <w:pStyle w:val="bpuSponsor"/>
      </w:pPr>
      <w:r>
        <w:t>Co-Sponsored by:</w:t>
      </w:r>
    </w:p>
    <w:p w14:paraId="34CFB1BC" w14:textId="60280A10" w:rsidR="003655C2" w:rsidRDefault="003655C2" w:rsidP="003655C2">
      <w:pPr>
        <w:pStyle w:val="bpuSponsor"/>
      </w:pPr>
      <w:r w:rsidRPr="003655C2">
        <w:t xml:space="preserve">Senators </w:t>
      </w:r>
      <w:proofErr w:type="spellStart"/>
      <w:r w:rsidRPr="003655C2">
        <w:t>Addiego</w:t>
      </w:r>
      <w:proofErr w:type="spellEnd"/>
      <w:r w:rsidRPr="003655C2">
        <w:t xml:space="preserve"> and </w:t>
      </w:r>
      <w:proofErr w:type="spellStart"/>
      <w:r w:rsidRPr="003655C2">
        <w:t>Pou</w:t>
      </w:r>
      <w:proofErr w:type="spellEnd"/>
    </w:p>
    <w:p w14:paraId="7B16F488" w14:textId="3AAFF4C0" w:rsidR="003655C2" w:rsidRDefault="003655C2" w:rsidP="003655C2"/>
    <w:p w14:paraId="0B4D4098" w14:textId="77777777" w:rsidR="003655C2" w:rsidRPr="003655C2" w:rsidRDefault="003655C2" w:rsidP="003655C2"/>
    <w:p w14:paraId="260E5324" w14:textId="77777777" w:rsidR="00E92A76" w:rsidRDefault="00E92A76" w:rsidP="00E92A76">
      <w:pPr>
        <w:pStyle w:val="bpuSponsor"/>
      </w:pPr>
    </w:p>
    <w:p w14:paraId="056B727D" w14:textId="77777777" w:rsidR="00E92A76" w:rsidRDefault="00E92A76" w:rsidP="00E92A76">
      <w:pPr>
        <w:pStyle w:val="bpuSponsor"/>
      </w:pPr>
    </w:p>
    <w:p w14:paraId="31E20FD0" w14:textId="77777777" w:rsidR="00E92A76" w:rsidRDefault="00E92A76" w:rsidP="00E92A76">
      <w:pPr>
        <w:pStyle w:val="bpuSponsor"/>
      </w:pPr>
      <w:r>
        <w:t>SYNOPSIS</w:t>
      </w:r>
    </w:p>
    <w:p w14:paraId="44490F01" w14:textId="77777777" w:rsidR="00E92A76" w:rsidRDefault="00E92A76" w:rsidP="00E92A76">
      <w:pPr>
        <w:pStyle w:val="bpuNormText"/>
      </w:pPr>
      <w:r>
        <w:tab/>
        <w:t>Requires refund or credit for transient and short-term rental reservations when public health emergency or state of emergency is in effect.</w:t>
      </w:r>
    </w:p>
    <w:p w14:paraId="5485065A" w14:textId="3F53CDFF" w:rsidR="00E92A76" w:rsidRDefault="00E92A76" w:rsidP="00E92A76">
      <w:pPr>
        <w:pStyle w:val="bpuNormText"/>
      </w:pPr>
      <w:r>
        <w:t xml:space="preserve"> </w:t>
      </w:r>
    </w:p>
    <w:p w14:paraId="2C6C940D" w14:textId="77777777" w:rsidR="00E92A76" w:rsidRDefault="00E92A76" w:rsidP="00E92A76">
      <w:pPr>
        <w:pStyle w:val="bpuSponsor"/>
      </w:pPr>
      <w:r>
        <w:t xml:space="preserve">CURRENT VERSION OF TEXT </w:t>
      </w:r>
    </w:p>
    <w:p w14:paraId="1EA85DF0" w14:textId="0C172D5C" w:rsidR="00E92A76" w:rsidRDefault="00580479" w:rsidP="00E92A76">
      <w:pPr>
        <w:pStyle w:val="bpuNormText"/>
      </w:pPr>
      <w:r>
        <w:tab/>
        <w:t>As reported by the Senate Community and Urban Affairs Committee on May 28, 2020, with amendments.</w:t>
      </w:r>
    </w:p>
    <w:p w14:paraId="42205172" w14:textId="3C288E6A" w:rsidR="00E92A76" w:rsidRDefault="00E92A76" w:rsidP="00E92A76">
      <w:pPr>
        <w:pStyle w:val="bpuNormText"/>
      </w:pPr>
      <w:r>
        <w:rPr>
          <w:noProof/>
        </w:rPr>
        <w:drawing>
          <wp:anchor distT="0" distB="0" distL="114300" distR="114300" simplePos="0" relativeHeight="251659264" behindDoc="1" locked="0" layoutInCell="1" allowOverlap="1" wp14:anchorId="7AEC4442" wp14:editId="03DE26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46DC20" w14:textId="77777777" w:rsidR="00E92A76" w:rsidRDefault="00E92A76" w:rsidP="008916EC">
      <w:pPr>
        <w:pStyle w:val="FronterPage"/>
        <w:tabs>
          <w:tab w:val="clear" w:pos="720"/>
          <w:tab w:val="clear" w:pos="1440"/>
          <w:tab w:val="clear" w:pos="2160"/>
          <w:tab w:val="clear" w:pos="2880"/>
          <w:tab w:val="clear" w:pos="3600"/>
          <w:tab w:val="clear" w:pos="4320"/>
          <w:tab w:val="clear" w:pos="5040"/>
        </w:tabs>
        <w:sectPr w:rsidR="00E92A76" w:rsidSect="00E92A76">
          <w:type w:val="continuous"/>
          <w:pgSz w:w="12240" w:h="20160" w:code="5"/>
          <w:pgMar w:top="1440" w:right="2275" w:bottom="1440" w:left="2275" w:header="72" w:footer="720" w:gutter="0"/>
          <w:pgNumType w:start="1"/>
          <w:cols w:space="720"/>
          <w:docGrid w:linePitch="360"/>
        </w:sectPr>
      </w:pPr>
    </w:p>
    <w:p w14:paraId="03914AF6" w14:textId="5A3671A7" w:rsidR="00686AEB" w:rsidRPr="00677316" w:rsidRDefault="00833728" w:rsidP="003E47BA">
      <w:pPr>
        <w:pStyle w:val="HangingAnAct"/>
        <w:rPr>
          <w:rStyle w:val="HangingAnActChar"/>
        </w:rPr>
      </w:pPr>
      <w:r>
        <w:rPr>
          <w:rStyle w:val="BillHead"/>
        </w:rPr>
        <w:lastRenderedPageBreak/>
        <w:t>An Act</w:t>
      </w:r>
      <w:r w:rsidR="00686AEB" w:rsidRPr="006B7FA7">
        <w:rPr>
          <w:rStyle w:val="HangingAnActChar"/>
        </w:rPr>
        <w:t xml:space="preserve"> </w:t>
      </w:r>
      <w:r w:rsidR="00CD57D9" w:rsidRPr="00CD57D9">
        <w:rPr>
          <w:rStyle w:val="HangingAnActChar"/>
        </w:rPr>
        <w:t xml:space="preserve">concerning a refund or credit for certain </w:t>
      </w:r>
      <w:r w:rsidR="001A4ADB">
        <w:rPr>
          <w:rStyle w:val="HangingAnActChar"/>
        </w:rPr>
        <w:t xml:space="preserve">transient and </w:t>
      </w:r>
      <w:r w:rsidR="00CD57D9" w:rsidRPr="00CD57D9">
        <w:rPr>
          <w:rStyle w:val="HangingAnActChar"/>
        </w:rPr>
        <w:t>short-term rental accommodations under certain circumstances.</w:t>
      </w:r>
    </w:p>
    <w:p w14:paraId="77F5692D" w14:textId="77777777" w:rsidR="000B1054" w:rsidRPr="00D71D68" w:rsidRDefault="000B1054" w:rsidP="000B1054"/>
    <w:p w14:paraId="1CD0CAD3" w14:textId="77777777" w:rsidR="00686AEB" w:rsidRDefault="00686AEB" w:rsidP="00686AEB">
      <w:pPr>
        <w:rPr>
          <w:rStyle w:val="BillLanguage"/>
        </w:rPr>
      </w:pPr>
      <w:r>
        <w:tab/>
      </w:r>
      <w:r w:rsidR="00833728">
        <w:rPr>
          <w:rStyle w:val="BillHeading2"/>
        </w:rPr>
        <w:t>Be It Enacted</w:t>
      </w:r>
      <w:r>
        <w:rPr>
          <w:rStyle w:val="BillHeading2"/>
        </w:rPr>
        <w:t xml:space="preserve"> </w:t>
      </w:r>
      <w:r w:rsidR="00833728">
        <w:rPr>
          <w:rStyle w:val="BillLanguage"/>
        </w:rPr>
        <w:t>by the Senate and General Assembly of the State of New Jersey:</w:t>
      </w:r>
    </w:p>
    <w:p w14:paraId="1101D4A6" w14:textId="77777777" w:rsidR="00CD57D9" w:rsidRDefault="00CD57D9" w:rsidP="00686AEB">
      <w:pPr>
        <w:rPr>
          <w:rStyle w:val="BillLanguage"/>
        </w:rPr>
      </w:pPr>
    </w:p>
    <w:p w14:paraId="3F9D04E6" w14:textId="5383BE78" w:rsidR="00D560A9" w:rsidRPr="00AB32E6" w:rsidRDefault="00D560A9" w:rsidP="00D560A9">
      <w:r>
        <w:tab/>
      </w:r>
      <w:r w:rsidR="004341A5">
        <w:t>1.</w:t>
      </w:r>
      <w:r w:rsidR="004341A5">
        <w:tab/>
      </w:r>
      <w:r>
        <w:t xml:space="preserve">a.  (1)  A transient space marketplace </w:t>
      </w:r>
      <w:r>
        <w:rPr>
          <w:rFonts w:ascii="Albertus Extra Bold" w:hAnsi="Albertus Extra Bold"/>
          <w:b/>
          <w:vertAlign w:val="superscript"/>
        </w:rPr>
        <w:t>1</w:t>
      </w:r>
      <w:r w:rsidRPr="00A402B4">
        <w:rPr>
          <w:rFonts w:ascii="Albertus Extra Bold" w:hAnsi="Albertus Extra Bold"/>
          <w:b/>
        </w:rPr>
        <w:t>[</w:t>
      </w:r>
      <w:r>
        <w:t>or</w:t>
      </w:r>
      <w:r w:rsidRPr="00A402B4">
        <w:rPr>
          <w:rFonts w:ascii="Albertus Extra Bold" w:hAnsi="Albertus Extra Bold"/>
          <w:b/>
        </w:rPr>
        <w:t>]</w:t>
      </w:r>
      <w:r>
        <w:t xml:space="preserve"> </w:t>
      </w:r>
      <w:r>
        <w:rPr>
          <w:u w:val="single"/>
        </w:rPr>
        <w:t>,</w:t>
      </w:r>
      <w:r w:rsidRPr="00A402B4">
        <w:rPr>
          <w:rFonts w:ascii="Albertus Extra Bold" w:hAnsi="Albertus Extra Bold"/>
          <w:b/>
          <w:vertAlign w:val="superscript"/>
        </w:rPr>
        <w:t>1</w:t>
      </w:r>
      <w:r>
        <w:t xml:space="preserve"> owner of a private short-term rental housing accommodation </w:t>
      </w:r>
      <w:r>
        <w:rPr>
          <w:rFonts w:ascii="Albertus Extra Bold" w:hAnsi="Albertus Extra Bold"/>
          <w:b/>
          <w:vertAlign w:val="superscript"/>
        </w:rPr>
        <w:t>1</w:t>
      </w:r>
      <w:r>
        <w:rPr>
          <w:u w:val="single"/>
        </w:rPr>
        <w:t>, real estate broker or agent, and any other person that collects payments from a guest</w:t>
      </w:r>
      <w:r>
        <w:rPr>
          <w:rFonts w:ascii="Albertus Extra Bold" w:hAnsi="Albertus Extra Bold"/>
          <w:b/>
          <w:vertAlign w:val="superscript"/>
        </w:rPr>
        <w:t>1</w:t>
      </w:r>
      <w:r>
        <w:t xml:space="preserve"> shall provide a refund, or credit for future use, within a timeframe of no less than 12 months following the initial reservation date, for a reservation or booking for a transient accommodation or private short-term rental housing accommodation in the State that occurs during a public health emergency, pursuant to the “Emergency Health Powers Act,” P.L.2005, c.222 (C.26:13-1 et seq.), or a state of emergency, pursuant to P.L.1942, c.251 (C.App.A.9-33 et seq.), or both, declared by the Governor and in effect, or when a travel restriction is in place.  The transient space marketplace </w:t>
      </w:r>
      <w:r>
        <w:rPr>
          <w:rFonts w:ascii="Albertus Extra Bold" w:hAnsi="Albertus Extra Bold"/>
          <w:b/>
          <w:vertAlign w:val="superscript"/>
        </w:rPr>
        <w:t>1</w:t>
      </w:r>
      <w:r>
        <w:rPr>
          <w:u w:val="single"/>
        </w:rPr>
        <w:t>, owner of a private short-term rental housing accommodation, real estate broker or agent, and any other person that collects payment from a guest</w:t>
      </w:r>
      <w:r>
        <w:rPr>
          <w:rFonts w:ascii="Albertus Extra Bold" w:hAnsi="Albertus Extra Bold"/>
          <w:b/>
          <w:vertAlign w:val="superscript"/>
        </w:rPr>
        <w:t>1</w:t>
      </w:r>
      <w:r>
        <w:t xml:space="preserve"> shall provide the refund or credit to the guest for the use of the transient accommodation </w:t>
      </w:r>
      <w:r>
        <w:rPr>
          <w:rFonts w:ascii="Albertus Extra Bold" w:hAnsi="Albertus Extra Bold"/>
          <w:b/>
          <w:vertAlign w:val="superscript"/>
        </w:rPr>
        <w:t>1</w:t>
      </w:r>
      <w:r w:rsidRPr="00F35D4F">
        <w:rPr>
          <w:rFonts w:ascii="Albertus Extra Bold" w:hAnsi="Albertus Extra Bold"/>
          <w:b/>
        </w:rPr>
        <w:t>[</w:t>
      </w:r>
      <w:r>
        <w:t>advertised or listed through that marketplace</w:t>
      </w:r>
      <w:r w:rsidRPr="00F35D4F">
        <w:rPr>
          <w:rFonts w:ascii="Albertus Extra Bold" w:hAnsi="Albertus Extra Bold"/>
          <w:b/>
        </w:rPr>
        <w:t>]</w:t>
      </w:r>
      <w:r>
        <w:t xml:space="preserve"> </w:t>
      </w:r>
      <w:r>
        <w:rPr>
          <w:u w:val="single"/>
        </w:rPr>
        <w:t>or for the use of the private-short term rental housing accommodation</w:t>
      </w:r>
      <w:r w:rsidRPr="00041AD2">
        <w:rPr>
          <w:rFonts w:ascii="Albertus Extra Bold" w:hAnsi="Albertus Extra Bold"/>
          <w:b/>
          <w:vertAlign w:val="superscript"/>
        </w:rPr>
        <w:t>1</w:t>
      </w:r>
      <w:r>
        <w:t xml:space="preserve"> under these </w:t>
      </w:r>
      <w:r w:rsidRPr="00F35D4F">
        <w:rPr>
          <w:rFonts w:ascii="Albertus Extra Bold" w:hAnsi="Albertus Extra Bold"/>
          <w:b/>
          <w:vertAlign w:val="superscript"/>
        </w:rPr>
        <w:t>1</w:t>
      </w:r>
      <w:r w:rsidRPr="00F35D4F">
        <w:rPr>
          <w:u w:val="single"/>
        </w:rPr>
        <w:t>emergency</w:t>
      </w:r>
      <w:r w:rsidRPr="00F35D4F">
        <w:rPr>
          <w:rFonts w:ascii="Albertus Extra Bold" w:hAnsi="Albertus Extra Bold"/>
          <w:b/>
          <w:vertAlign w:val="superscript"/>
        </w:rPr>
        <w:t>1</w:t>
      </w:r>
      <w:r w:rsidRPr="00F35D4F">
        <w:t xml:space="preserve"> conditions</w:t>
      </w:r>
      <w:r>
        <w:t xml:space="preserve">, notwithstanding any policy of the </w:t>
      </w:r>
      <w:r>
        <w:rPr>
          <w:rFonts w:ascii="Albertus Extra Bold" w:hAnsi="Albertus Extra Bold"/>
          <w:b/>
          <w:vertAlign w:val="superscript"/>
        </w:rPr>
        <w:t>1</w:t>
      </w:r>
      <w:r>
        <w:rPr>
          <w:u w:val="single"/>
        </w:rPr>
        <w:t>transient space</w:t>
      </w:r>
      <w:r>
        <w:rPr>
          <w:rFonts w:ascii="Albertus Extra Bold" w:hAnsi="Albertus Extra Bold"/>
          <w:b/>
          <w:vertAlign w:val="superscript"/>
        </w:rPr>
        <w:t>1</w:t>
      </w:r>
      <w:r>
        <w:t xml:space="preserve"> marketplace </w:t>
      </w:r>
      <w:r>
        <w:rPr>
          <w:rFonts w:ascii="Albertus Extra Bold" w:hAnsi="Albertus Extra Bold"/>
          <w:b/>
          <w:vertAlign w:val="superscript"/>
        </w:rPr>
        <w:t>1</w:t>
      </w:r>
      <w:r>
        <w:rPr>
          <w:u w:val="single"/>
        </w:rPr>
        <w:t>or private short-term rental housing accommodation</w:t>
      </w:r>
      <w:r>
        <w:rPr>
          <w:rFonts w:ascii="Albertus Extra Bold" w:hAnsi="Albertus Extra Bold"/>
          <w:b/>
          <w:vertAlign w:val="superscript"/>
        </w:rPr>
        <w:t>1</w:t>
      </w:r>
      <w:r>
        <w:t xml:space="preserve"> requiring payment in full in advance, or not allowing any refunds, or any other policy to the contrary.  </w:t>
      </w:r>
      <w:r>
        <w:rPr>
          <w:rFonts w:ascii="Albertus Extra Bold" w:hAnsi="Albertus Extra Bold"/>
          <w:b/>
          <w:vertAlign w:val="superscript"/>
        </w:rPr>
        <w:t>1</w:t>
      </w:r>
      <w:r w:rsidRPr="0018614D">
        <w:rPr>
          <w:rFonts w:ascii="Albertus Extra Bold" w:hAnsi="Albertus Extra Bold"/>
          <w:b/>
        </w:rPr>
        <w:t>[</w:t>
      </w:r>
      <w:r>
        <w:t>The owner of a private short-term rental housing accommodation shall provide the refund or credit to the guest for the use of the private short-term rental housing accommodation under these conditions, notwithstanding any policy of the accommodation requiring payment in full in advance, or not allowing any refunds, or any other policy to the contrary.</w:t>
      </w:r>
      <w:r w:rsidRPr="00612600">
        <w:rPr>
          <w:rFonts w:ascii="Albertus Extra Bold" w:hAnsi="Albertus Extra Bold"/>
          <w:b/>
        </w:rPr>
        <w:t>]</w:t>
      </w:r>
      <w:r>
        <w:t xml:space="preserve">  </w:t>
      </w:r>
      <w:r>
        <w:rPr>
          <w:u w:val="single"/>
        </w:rPr>
        <w:t xml:space="preserve">The transient space marketplace, owner of a </w:t>
      </w:r>
      <w:r w:rsidRPr="0066748D">
        <w:rPr>
          <w:u w:val="single"/>
        </w:rPr>
        <w:t xml:space="preserve">transient accommodation </w:t>
      </w:r>
      <w:r>
        <w:rPr>
          <w:u w:val="single"/>
        </w:rPr>
        <w:t xml:space="preserve">or private short-term rental housing accommodation, real estate broker or agent, and any other person that receives payments from a guest shall refund, or provide as a credit for future use, their respective share of payments received from a short-term rental transaction.  An owner </w:t>
      </w:r>
      <w:r w:rsidRPr="008050CF">
        <w:rPr>
          <w:u w:val="single"/>
        </w:rPr>
        <w:t xml:space="preserve">of a transient accommodation or a private short-term rental housing accommodation </w:t>
      </w:r>
      <w:r>
        <w:rPr>
          <w:u w:val="single"/>
        </w:rPr>
        <w:t>shall refund, or provide as a credit for future use, any payments from a guest that are received by the owner, but which were first collected by a transient space marketplace, real estate broker or agent, or any other person that collects payments from a guest prior to transmittal to the owner.</w:t>
      </w:r>
      <w:r w:rsidRPr="000107AA">
        <w:rPr>
          <w:rFonts w:ascii="Albertus Extra Bold" w:hAnsi="Albertus Extra Bold"/>
          <w:b/>
          <w:vertAlign w:val="superscript"/>
        </w:rPr>
        <w:t>1</w:t>
      </w:r>
    </w:p>
    <w:p w14:paraId="05D1AEC5" w14:textId="7FE2FA2F" w:rsidR="00D560A9" w:rsidRDefault="004341A5" w:rsidP="00D560A9">
      <w:r>
        <w:lastRenderedPageBreak/>
        <w:tab/>
        <w:t>(2)</w:t>
      </w:r>
      <w:r>
        <w:tab/>
      </w:r>
      <w:r w:rsidR="00D560A9">
        <w:t>With respect to the public health emergency and state of emergency declared by the Governor in Executive Order 103 of 2020 concerning the coronavirus disease 2019 pandemic, a refund or credit shall be provided pursuant to paragraph (1) of this subsection for any reservation or booking located in this State for any period beginning on or before March 9 2020, if the timeframe of the reservation concluded on or after March 9, 2020.</w:t>
      </w:r>
    </w:p>
    <w:p w14:paraId="582A6C6B" w14:textId="0D12AA99" w:rsidR="00D560A9" w:rsidRDefault="00D560A9" w:rsidP="00D560A9">
      <w:pPr>
        <w:rPr>
          <w:u w:val="single"/>
        </w:rPr>
      </w:pPr>
      <w:r>
        <w:tab/>
      </w:r>
      <w:r w:rsidR="004341A5">
        <w:t>b.</w:t>
      </w:r>
      <w:r w:rsidR="004341A5">
        <w:tab/>
      </w:r>
      <w:r>
        <w:rPr>
          <w:rFonts w:ascii="Albertus Extra Bold" w:hAnsi="Albertus Extra Bold"/>
          <w:b/>
          <w:vertAlign w:val="superscript"/>
        </w:rPr>
        <w:t>1</w:t>
      </w:r>
      <w:r>
        <w:rPr>
          <w:u w:val="single"/>
        </w:rPr>
        <w:t>With respect to any transaction made by a guest for a reservation or booking, pursuant to this section, where such transaction was executed on or after June 1, 2020, the guest shall provide a cancellation notice to the relevant entity no less than 30 days prior to the date of the reservation or booking to receive a refund, or credit, in full pursuant to the provisions of this section.</w:t>
      </w:r>
    </w:p>
    <w:p w14:paraId="6E8E2F31" w14:textId="2E7DB286" w:rsidR="00D560A9" w:rsidRPr="003A6826" w:rsidRDefault="00D560A9" w:rsidP="00D560A9">
      <w:pPr>
        <w:rPr>
          <w:u w:val="single"/>
        </w:rPr>
      </w:pPr>
      <w:r w:rsidRPr="00646275">
        <w:tab/>
      </w:r>
      <w:r w:rsidR="004341A5">
        <w:rPr>
          <w:u w:val="single"/>
        </w:rPr>
        <w:t>c.</w:t>
      </w:r>
      <w:r w:rsidR="004341A5">
        <w:rPr>
          <w:u w:val="single"/>
        </w:rPr>
        <w:tab/>
      </w:r>
      <w:r>
        <w:rPr>
          <w:u w:val="single"/>
        </w:rPr>
        <w:t>A guest who, notwithstanding the public health emergency, state of emergency, or travel restriction, utilized the transient accommodation or private short-term rental housing accommodation shall not be eligible for a refund or credit pursuant to this section.</w:t>
      </w:r>
    </w:p>
    <w:p w14:paraId="5FB56156" w14:textId="7CE7788C" w:rsidR="00D560A9" w:rsidRDefault="00D560A9" w:rsidP="00D560A9">
      <w:r>
        <w:tab/>
      </w:r>
      <w:r w:rsidRPr="00646275">
        <w:rPr>
          <w:u w:val="single"/>
        </w:rPr>
        <w:t>d</w:t>
      </w:r>
      <w:r>
        <w:rPr>
          <w:u w:val="single"/>
        </w:rPr>
        <w:t>.</w:t>
      </w:r>
      <w:r w:rsidRPr="0064705A">
        <w:rPr>
          <w:rFonts w:ascii="Albertus Extra Bold" w:hAnsi="Albertus Extra Bold"/>
          <w:b/>
          <w:vertAlign w:val="superscript"/>
        </w:rPr>
        <w:t>1</w:t>
      </w:r>
      <w:r w:rsidR="004341A5">
        <w:tab/>
      </w:r>
      <w:r>
        <w:t>As used in this section:</w:t>
      </w:r>
    </w:p>
    <w:p w14:paraId="4C6407DE" w14:textId="77777777" w:rsidR="00D560A9" w:rsidRDefault="00D560A9" w:rsidP="00D560A9">
      <w:r>
        <w:tab/>
        <w:t>“Private short-term rental housing accommodation” means, for a period of 90 or fewer consecutive days, a rental of a hotel or hotel room;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leases of real property; or a rental transaction consisting of the above accommodations completed by a real estate broker licensed by the New Jersey Real Estate Commission pursuant to R.S.45:15-1 et seq.</w:t>
      </w:r>
    </w:p>
    <w:p w14:paraId="348EB181" w14:textId="77777777" w:rsidR="00D560A9" w:rsidRDefault="00D560A9" w:rsidP="00D560A9">
      <w:r>
        <w:tab/>
        <w:t xml:space="preserve">“Transient accommodation” means a room, group of rooms, or other living or sleeping space for the lodging of occupants, including but not limited to residences or buildings used as residences, located in this State.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w:t>
      </w:r>
      <w:r>
        <w:lastRenderedPageBreak/>
        <w:t>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14:paraId="613C843E" w14:textId="77777777" w:rsidR="00D560A9" w:rsidRDefault="00D560A9" w:rsidP="00D560A9">
      <w:r>
        <w:tab/>
        <w:t>“Transient space marketplace” means a digital platform on a hosted Internet website through which a person offers a transient accommodation in exchange for monetary or other compensation.  A “transient space marketplace” allows a person offering that accommodation to advertise or list the transient accommodation and provides a means for a transient guest to arrange for the use of the accommodation in exchange for monetary or other consideration.</w:t>
      </w:r>
    </w:p>
    <w:p w14:paraId="1B7EC2F0" w14:textId="77777777" w:rsidR="00686AEB" w:rsidRPr="00D71D68" w:rsidRDefault="00686AEB" w:rsidP="00686AEB"/>
    <w:p w14:paraId="72B7E705" w14:textId="3C1B9F1A" w:rsidR="0027520E" w:rsidRPr="00657127" w:rsidRDefault="0027520E" w:rsidP="0027520E">
      <w:pPr>
        <w:rPr>
          <w:u w:val="single"/>
        </w:rPr>
      </w:pPr>
      <w:r>
        <w:tab/>
        <w:t>2.</w:t>
      </w:r>
      <w:r>
        <w:tab/>
        <w:t xml:space="preserve">This act shall take effect immediately and shall expire </w:t>
      </w:r>
      <w:r>
        <w:rPr>
          <w:rFonts w:ascii="Albertus Extra Bold" w:hAnsi="Albertus Extra Bold"/>
          <w:b/>
          <w:vertAlign w:val="superscript"/>
        </w:rPr>
        <w:t>1</w:t>
      </w:r>
      <w:r w:rsidRPr="00A67674">
        <w:rPr>
          <w:rFonts w:ascii="Albertus Extra Bold" w:hAnsi="Albertus Extra Bold"/>
          <w:b/>
        </w:rPr>
        <w:t>[</w:t>
      </w:r>
      <w:r>
        <w:t>on June 30, 2020</w:t>
      </w:r>
      <w:r w:rsidRPr="00A67674">
        <w:rPr>
          <w:rFonts w:ascii="Albertus Extra Bold" w:hAnsi="Albertus Extra Bold"/>
          <w:b/>
        </w:rPr>
        <w:t>]</w:t>
      </w:r>
      <w:r>
        <w:t xml:space="preserve"> </w:t>
      </w:r>
      <w:r>
        <w:rPr>
          <w:u w:val="single"/>
        </w:rPr>
        <w:t>on the first day of the fourth month next following the conclusion of the public health emergency, the state of emergency, or the travel restriction, whichever occurs later</w:t>
      </w:r>
      <w:r>
        <w:rPr>
          <w:rFonts w:ascii="Albertus Extra Bold" w:hAnsi="Albertus Extra Bold"/>
          <w:b/>
          <w:vertAlign w:val="superscript"/>
        </w:rPr>
        <w:t>1</w:t>
      </w:r>
      <w:r>
        <w:t>.</w:t>
      </w:r>
    </w:p>
    <w:sectPr w:rsidR="0027520E" w:rsidRPr="00657127" w:rsidSect="004341A5">
      <w:headerReference w:type="default" r:id="rId13"/>
      <w:footerReference w:type="default" r:id="rId14"/>
      <w:headerReference w:type="first" r:id="rId15"/>
      <w:footerReference w:type="first" r:id="rId16"/>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09E66" w14:textId="77777777" w:rsidR="007C5CE2" w:rsidRDefault="007C5CE2">
      <w:r>
        <w:separator/>
      </w:r>
    </w:p>
  </w:endnote>
  <w:endnote w:type="continuationSeparator" w:id="0">
    <w:p w14:paraId="5D1D31B7" w14:textId="77777777" w:rsidR="007C5CE2" w:rsidRDefault="007C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D13B3" w14:textId="1B5DDAF8" w:rsidR="004629C9" w:rsidRDefault="00C05AC9" w:rsidP="00C05AC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35A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2465" w14:textId="77777777" w:rsidR="00580479" w:rsidRPr="00921C91" w:rsidRDefault="005804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22ADDA8" w14:textId="77777777" w:rsidR="00580479" w:rsidRPr="00921C91" w:rsidRDefault="00580479">
    <w:pPr>
      <w:pStyle w:val="Footer"/>
      <w:rPr>
        <w:szCs w:val="18"/>
      </w:rPr>
    </w:pPr>
  </w:p>
  <w:p w14:paraId="11863AE5" w14:textId="77777777" w:rsidR="00580479" w:rsidRPr="00921C91" w:rsidRDefault="005804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C2DA79" w14:textId="272B2711" w:rsidR="00580479" w:rsidRDefault="00580479" w:rsidP="00686AEB">
    <w:pPr>
      <w:pStyle w:val="Footer"/>
    </w:pPr>
    <w:r>
      <w:tab/>
      <w:t>Matter enclosed in superscript numerals has been adopted as follows:</w:t>
    </w:r>
  </w:p>
  <w:p w14:paraId="3D86846D" w14:textId="1E6AACCA" w:rsidR="00580479" w:rsidRDefault="0058047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May 28, 2020.</w:t>
    </w:r>
  </w:p>
  <w:p w14:paraId="7D737DC6" w14:textId="77777777" w:rsidR="00580479" w:rsidRPr="00580479" w:rsidRDefault="0058047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EBF32" w14:textId="77777777" w:rsidR="007C5CE2" w:rsidRDefault="007C5CE2">
      <w:r>
        <w:separator/>
      </w:r>
    </w:p>
  </w:footnote>
  <w:footnote w:type="continuationSeparator" w:id="0">
    <w:p w14:paraId="33622D72" w14:textId="77777777" w:rsidR="007C5CE2" w:rsidRDefault="007C5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3554" w14:textId="77777777" w:rsidR="00665CBC" w:rsidRDefault="00575209">
    <w:pPr>
      <w:pStyle w:val="Header"/>
    </w:pPr>
    <w:r>
      <w:rPr>
        <w:noProof/>
      </w:rPr>
      <w:pict w14:anchorId="4305A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02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F4B" w14:textId="1E9542EC" w:rsidR="00665CBC" w:rsidRDefault="00665CBC" w:rsidP="00686AEB">
    <w:pPr>
      <w:pStyle w:val="Header"/>
      <w:jc w:val="center"/>
      <w:rPr>
        <w:rStyle w:val="PageNumber"/>
      </w:rPr>
    </w:pPr>
  </w:p>
  <w:p w14:paraId="4BFB0217" w14:textId="533FE125" w:rsidR="004629C9" w:rsidRDefault="004629C9" w:rsidP="004629C9">
    <w:pPr>
      <w:pStyle w:val="bpuHeadSpon"/>
    </w:pPr>
    <w:r w:rsidRPr="00E92A76">
      <w:rPr>
        <w:rStyle w:val="bpuHeadSponChar"/>
      </w:rPr>
      <w:t>S2412</w:t>
    </w:r>
    <w:r>
      <w:t xml:space="preserve"> </w:t>
    </w:r>
    <w:r w:rsidR="00580479">
      <w:t xml:space="preserve">[1R] </w:t>
    </w:r>
    <w:r>
      <w:t>CRYAN, BATEMAN</w:t>
    </w:r>
  </w:p>
  <w:p w14:paraId="557C67C4" w14:textId="2D1AD0FA" w:rsidR="00E92A76" w:rsidRDefault="00E92A76" w:rsidP="00E92A76">
    <w:pPr>
      <w:pStyle w:val="bpuHeadSpon"/>
    </w:pPr>
    <w:r>
      <w:fldChar w:fldCharType="begin"/>
    </w:r>
    <w:r>
      <w:instrText xml:space="preserve"> PAGE  \* MERGEFORMAT </w:instrText>
    </w:r>
    <w:r>
      <w:fldChar w:fldCharType="separate"/>
    </w:r>
    <w:r w:rsidR="00575209">
      <w:rPr>
        <w:noProof/>
      </w:rPr>
      <w:t>4</w:t>
    </w:r>
    <w:r>
      <w:fldChar w:fldCharType="end"/>
    </w:r>
  </w:p>
  <w:p w14:paraId="6A4D1793" w14:textId="77777777" w:rsidR="00E92A76" w:rsidRDefault="00E92A76" w:rsidP="00E92A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AFEE" w14:textId="5127A3E3" w:rsidR="00665CBC" w:rsidRDefault="00665CBC">
    <w:pPr>
      <w:pStyle w:val="Header"/>
    </w:pPr>
  </w:p>
  <w:p w14:paraId="78C70CD5" w14:textId="2DA58CE3" w:rsidR="00E92A76" w:rsidRDefault="00E92A76" w:rsidP="00E92A76">
    <w:pPr>
      <w:pStyle w:val="bpuHeadSpon"/>
    </w:pPr>
    <w:r w:rsidRPr="00E92A76">
      <w:rPr>
        <w:rStyle w:val="bpuHeadSponChar"/>
      </w:rPr>
      <w:t>S2412</w:t>
    </w:r>
    <w:r>
      <w:t xml:space="preserve"> </w:t>
    </w:r>
    <w:r w:rsidR="00580479">
      <w:t xml:space="preserve">[1R] </w:t>
    </w:r>
    <w:r>
      <w:t>CRYAN</w:t>
    </w:r>
    <w:r w:rsidR="004629C9">
      <w:t>, BATEMAN</w:t>
    </w:r>
  </w:p>
  <w:p w14:paraId="3BC3E454" w14:textId="6F46CF22" w:rsidR="00E92A76" w:rsidRDefault="00E92A76" w:rsidP="00E92A76">
    <w:pPr>
      <w:pStyle w:val="bpuHeadSpon"/>
    </w:pPr>
    <w:r>
      <w:fldChar w:fldCharType="begin"/>
    </w:r>
    <w:r>
      <w:instrText xml:space="preserve"> PAGE  \* MERGEFORMAT </w:instrText>
    </w:r>
    <w:r>
      <w:fldChar w:fldCharType="separate"/>
    </w:r>
    <w:r w:rsidR="00575209">
      <w:rPr>
        <w:noProof/>
      </w:rPr>
      <w:t>2</w:t>
    </w:r>
    <w:r>
      <w:fldChar w:fldCharType="end"/>
    </w:r>
  </w:p>
  <w:p w14:paraId="7BDBFCE2" w14:textId="77777777" w:rsidR="00E92A76" w:rsidRDefault="00E92A76" w:rsidP="00E92A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E2"/>
    <w:rsid w:val="000051BD"/>
    <w:rsid w:val="000160A5"/>
    <w:rsid w:val="0002335B"/>
    <w:rsid w:val="0003549A"/>
    <w:rsid w:val="000367AE"/>
    <w:rsid w:val="00043B22"/>
    <w:rsid w:val="00054975"/>
    <w:rsid w:val="00057D20"/>
    <w:rsid w:val="0006197C"/>
    <w:rsid w:val="0006281F"/>
    <w:rsid w:val="0008141C"/>
    <w:rsid w:val="00094A55"/>
    <w:rsid w:val="000A44A7"/>
    <w:rsid w:val="000A5E93"/>
    <w:rsid w:val="000B1054"/>
    <w:rsid w:val="000B138E"/>
    <w:rsid w:val="000B3411"/>
    <w:rsid w:val="000C054C"/>
    <w:rsid w:val="000C12C2"/>
    <w:rsid w:val="000D11AF"/>
    <w:rsid w:val="000D1FB6"/>
    <w:rsid w:val="000D6255"/>
    <w:rsid w:val="000D6262"/>
    <w:rsid w:val="000D7B4A"/>
    <w:rsid w:val="000E4006"/>
    <w:rsid w:val="000F3DA2"/>
    <w:rsid w:val="000F5FDE"/>
    <w:rsid w:val="000F7466"/>
    <w:rsid w:val="001268CB"/>
    <w:rsid w:val="0013000E"/>
    <w:rsid w:val="00133F81"/>
    <w:rsid w:val="00135943"/>
    <w:rsid w:val="00143A42"/>
    <w:rsid w:val="001645FB"/>
    <w:rsid w:val="00173D2B"/>
    <w:rsid w:val="00181676"/>
    <w:rsid w:val="00183603"/>
    <w:rsid w:val="00193E4B"/>
    <w:rsid w:val="00194E78"/>
    <w:rsid w:val="0019707B"/>
    <w:rsid w:val="00197E8B"/>
    <w:rsid w:val="00197FA4"/>
    <w:rsid w:val="001A161A"/>
    <w:rsid w:val="001A3B79"/>
    <w:rsid w:val="001A4ADB"/>
    <w:rsid w:val="001A66B6"/>
    <w:rsid w:val="001B4716"/>
    <w:rsid w:val="001B4EA4"/>
    <w:rsid w:val="001C7C52"/>
    <w:rsid w:val="001D25F3"/>
    <w:rsid w:val="001D64BB"/>
    <w:rsid w:val="001E15F1"/>
    <w:rsid w:val="001E16FA"/>
    <w:rsid w:val="001E6213"/>
    <w:rsid w:val="001F14C7"/>
    <w:rsid w:val="001F7405"/>
    <w:rsid w:val="00205533"/>
    <w:rsid w:val="00207C00"/>
    <w:rsid w:val="00212B8D"/>
    <w:rsid w:val="00222983"/>
    <w:rsid w:val="002370D0"/>
    <w:rsid w:val="00255958"/>
    <w:rsid w:val="00257FA2"/>
    <w:rsid w:val="0026574A"/>
    <w:rsid w:val="002660BB"/>
    <w:rsid w:val="002720E8"/>
    <w:rsid w:val="0027520E"/>
    <w:rsid w:val="00275293"/>
    <w:rsid w:val="002776B0"/>
    <w:rsid w:val="00286C7E"/>
    <w:rsid w:val="002A1029"/>
    <w:rsid w:val="002A3A1A"/>
    <w:rsid w:val="002A4692"/>
    <w:rsid w:val="002A51BA"/>
    <w:rsid w:val="002B2E26"/>
    <w:rsid w:val="002B3E0E"/>
    <w:rsid w:val="002B3FE6"/>
    <w:rsid w:val="002C2D81"/>
    <w:rsid w:val="002C461E"/>
    <w:rsid w:val="002C6CB4"/>
    <w:rsid w:val="002C6CEC"/>
    <w:rsid w:val="002E09CE"/>
    <w:rsid w:val="002E34A4"/>
    <w:rsid w:val="002E39A2"/>
    <w:rsid w:val="002E69D1"/>
    <w:rsid w:val="002F3BA6"/>
    <w:rsid w:val="00315320"/>
    <w:rsid w:val="00325776"/>
    <w:rsid w:val="00325E27"/>
    <w:rsid w:val="00330395"/>
    <w:rsid w:val="00333704"/>
    <w:rsid w:val="00336624"/>
    <w:rsid w:val="0034025F"/>
    <w:rsid w:val="00340458"/>
    <w:rsid w:val="0034200F"/>
    <w:rsid w:val="003446A0"/>
    <w:rsid w:val="0034481B"/>
    <w:rsid w:val="00346259"/>
    <w:rsid w:val="00346A52"/>
    <w:rsid w:val="00350130"/>
    <w:rsid w:val="00354334"/>
    <w:rsid w:val="0036180C"/>
    <w:rsid w:val="00363CF5"/>
    <w:rsid w:val="00364344"/>
    <w:rsid w:val="003655C2"/>
    <w:rsid w:val="003702CA"/>
    <w:rsid w:val="00370617"/>
    <w:rsid w:val="00370E52"/>
    <w:rsid w:val="00373C23"/>
    <w:rsid w:val="00382F1F"/>
    <w:rsid w:val="00391DA4"/>
    <w:rsid w:val="003A3C64"/>
    <w:rsid w:val="003A3F83"/>
    <w:rsid w:val="003B556D"/>
    <w:rsid w:val="003B7BDC"/>
    <w:rsid w:val="003C43EF"/>
    <w:rsid w:val="003C5A6B"/>
    <w:rsid w:val="003C7FB2"/>
    <w:rsid w:val="003D24DE"/>
    <w:rsid w:val="003E26D4"/>
    <w:rsid w:val="003E328E"/>
    <w:rsid w:val="003E47BA"/>
    <w:rsid w:val="003F3B37"/>
    <w:rsid w:val="0040195A"/>
    <w:rsid w:val="00402DC0"/>
    <w:rsid w:val="00416C4B"/>
    <w:rsid w:val="0041751E"/>
    <w:rsid w:val="004211E5"/>
    <w:rsid w:val="00422091"/>
    <w:rsid w:val="00432F37"/>
    <w:rsid w:val="0043386C"/>
    <w:rsid w:val="004341A5"/>
    <w:rsid w:val="00436F2D"/>
    <w:rsid w:val="00436F5D"/>
    <w:rsid w:val="00441B42"/>
    <w:rsid w:val="0045118A"/>
    <w:rsid w:val="00455D51"/>
    <w:rsid w:val="00456BF9"/>
    <w:rsid w:val="00461057"/>
    <w:rsid w:val="00461CC2"/>
    <w:rsid w:val="004629C9"/>
    <w:rsid w:val="004704A8"/>
    <w:rsid w:val="00471102"/>
    <w:rsid w:val="00471F18"/>
    <w:rsid w:val="00480EED"/>
    <w:rsid w:val="00484144"/>
    <w:rsid w:val="00484C19"/>
    <w:rsid w:val="00485866"/>
    <w:rsid w:val="00492076"/>
    <w:rsid w:val="00493B1D"/>
    <w:rsid w:val="00497037"/>
    <w:rsid w:val="004A3009"/>
    <w:rsid w:val="004A57B3"/>
    <w:rsid w:val="004A6940"/>
    <w:rsid w:val="004A77A4"/>
    <w:rsid w:val="004C742C"/>
    <w:rsid w:val="004E1F3E"/>
    <w:rsid w:val="004F21BD"/>
    <w:rsid w:val="004F4F1D"/>
    <w:rsid w:val="004F74DD"/>
    <w:rsid w:val="00501317"/>
    <w:rsid w:val="005017DF"/>
    <w:rsid w:val="0050495C"/>
    <w:rsid w:val="00505DC9"/>
    <w:rsid w:val="00506E1E"/>
    <w:rsid w:val="00513C81"/>
    <w:rsid w:val="00527BFB"/>
    <w:rsid w:val="00532A32"/>
    <w:rsid w:val="00540B0B"/>
    <w:rsid w:val="0054460F"/>
    <w:rsid w:val="00551AE7"/>
    <w:rsid w:val="005536CD"/>
    <w:rsid w:val="00554051"/>
    <w:rsid w:val="00557240"/>
    <w:rsid w:val="005651F3"/>
    <w:rsid w:val="00572184"/>
    <w:rsid w:val="00575209"/>
    <w:rsid w:val="00577A15"/>
    <w:rsid w:val="00580479"/>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563"/>
    <w:rsid w:val="00677316"/>
    <w:rsid w:val="00686AEB"/>
    <w:rsid w:val="006A4084"/>
    <w:rsid w:val="006B7897"/>
    <w:rsid w:val="006B7FA7"/>
    <w:rsid w:val="006C086A"/>
    <w:rsid w:val="006C21C1"/>
    <w:rsid w:val="006C51DC"/>
    <w:rsid w:val="006C7327"/>
    <w:rsid w:val="006D00E5"/>
    <w:rsid w:val="006D791B"/>
    <w:rsid w:val="006E2895"/>
    <w:rsid w:val="006F180D"/>
    <w:rsid w:val="006F4334"/>
    <w:rsid w:val="006F47AF"/>
    <w:rsid w:val="006F6B8A"/>
    <w:rsid w:val="00707CD3"/>
    <w:rsid w:val="00716BB9"/>
    <w:rsid w:val="007202AC"/>
    <w:rsid w:val="007256D1"/>
    <w:rsid w:val="007279FD"/>
    <w:rsid w:val="007322D9"/>
    <w:rsid w:val="00746F46"/>
    <w:rsid w:val="007502CB"/>
    <w:rsid w:val="00752D79"/>
    <w:rsid w:val="00752E20"/>
    <w:rsid w:val="00756EDE"/>
    <w:rsid w:val="00781B4D"/>
    <w:rsid w:val="007824BF"/>
    <w:rsid w:val="00783B8D"/>
    <w:rsid w:val="00794B94"/>
    <w:rsid w:val="00794BD4"/>
    <w:rsid w:val="007A002D"/>
    <w:rsid w:val="007A2F73"/>
    <w:rsid w:val="007A3061"/>
    <w:rsid w:val="007A5A0B"/>
    <w:rsid w:val="007B546C"/>
    <w:rsid w:val="007C0E14"/>
    <w:rsid w:val="007C5CE2"/>
    <w:rsid w:val="007C71F4"/>
    <w:rsid w:val="007C7DE4"/>
    <w:rsid w:val="007D025F"/>
    <w:rsid w:val="007D40CB"/>
    <w:rsid w:val="007D5796"/>
    <w:rsid w:val="007D59C0"/>
    <w:rsid w:val="007D7D9C"/>
    <w:rsid w:val="007F0077"/>
    <w:rsid w:val="007F485D"/>
    <w:rsid w:val="007F6050"/>
    <w:rsid w:val="00813627"/>
    <w:rsid w:val="008267B6"/>
    <w:rsid w:val="00832816"/>
    <w:rsid w:val="00833728"/>
    <w:rsid w:val="00837109"/>
    <w:rsid w:val="00840365"/>
    <w:rsid w:val="008406A3"/>
    <w:rsid w:val="00841D2C"/>
    <w:rsid w:val="00845F3C"/>
    <w:rsid w:val="008461B8"/>
    <w:rsid w:val="008462F1"/>
    <w:rsid w:val="00847EF1"/>
    <w:rsid w:val="008538FA"/>
    <w:rsid w:val="008573B0"/>
    <w:rsid w:val="00866563"/>
    <w:rsid w:val="008665BD"/>
    <w:rsid w:val="00867AC2"/>
    <w:rsid w:val="0087056E"/>
    <w:rsid w:val="00875402"/>
    <w:rsid w:val="00884D51"/>
    <w:rsid w:val="008916EC"/>
    <w:rsid w:val="00891E4F"/>
    <w:rsid w:val="008A31C5"/>
    <w:rsid w:val="008A4F9A"/>
    <w:rsid w:val="008B2850"/>
    <w:rsid w:val="008C3A51"/>
    <w:rsid w:val="008C79B3"/>
    <w:rsid w:val="008D77BD"/>
    <w:rsid w:val="008E454C"/>
    <w:rsid w:val="008F1E5A"/>
    <w:rsid w:val="008F56E1"/>
    <w:rsid w:val="00901BDA"/>
    <w:rsid w:val="00903A52"/>
    <w:rsid w:val="009121D8"/>
    <w:rsid w:val="00916F7A"/>
    <w:rsid w:val="00917FE3"/>
    <w:rsid w:val="009318C7"/>
    <w:rsid w:val="00931C09"/>
    <w:rsid w:val="009348C2"/>
    <w:rsid w:val="0093505A"/>
    <w:rsid w:val="009440D0"/>
    <w:rsid w:val="0095160E"/>
    <w:rsid w:val="009523A3"/>
    <w:rsid w:val="00960958"/>
    <w:rsid w:val="00963A46"/>
    <w:rsid w:val="009641D8"/>
    <w:rsid w:val="00966A3E"/>
    <w:rsid w:val="00971493"/>
    <w:rsid w:val="00971AD9"/>
    <w:rsid w:val="00973069"/>
    <w:rsid w:val="00973523"/>
    <w:rsid w:val="0097633C"/>
    <w:rsid w:val="00980766"/>
    <w:rsid w:val="009835D4"/>
    <w:rsid w:val="009865D4"/>
    <w:rsid w:val="00997152"/>
    <w:rsid w:val="009972CD"/>
    <w:rsid w:val="009A0E9C"/>
    <w:rsid w:val="009A45DA"/>
    <w:rsid w:val="009B06D2"/>
    <w:rsid w:val="009B34EC"/>
    <w:rsid w:val="009B5D67"/>
    <w:rsid w:val="009B6176"/>
    <w:rsid w:val="009C0D22"/>
    <w:rsid w:val="009C19D4"/>
    <w:rsid w:val="009C2DD9"/>
    <w:rsid w:val="009C3E09"/>
    <w:rsid w:val="009C5630"/>
    <w:rsid w:val="009D0E5D"/>
    <w:rsid w:val="009D0F63"/>
    <w:rsid w:val="009D7934"/>
    <w:rsid w:val="009D7CCF"/>
    <w:rsid w:val="009E3BA3"/>
    <w:rsid w:val="009E5961"/>
    <w:rsid w:val="009F091E"/>
    <w:rsid w:val="009F4FAC"/>
    <w:rsid w:val="00A017C0"/>
    <w:rsid w:val="00A11228"/>
    <w:rsid w:val="00A222C2"/>
    <w:rsid w:val="00A305D6"/>
    <w:rsid w:val="00A342C4"/>
    <w:rsid w:val="00A50F6B"/>
    <w:rsid w:val="00A52237"/>
    <w:rsid w:val="00A52A1A"/>
    <w:rsid w:val="00A551D6"/>
    <w:rsid w:val="00A6251B"/>
    <w:rsid w:val="00A6754E"/>
    <w:rsid w:val="00A70F58"/>
    <w:rsid w:val="00A72987"/>
    <w:rsid w:val="00A7346B"/>
    <w:rsid w:val="00A84C4F"/>
    <w:rsid w:val="00A932A1"/>
    <w:rsid w:val="00A96E06"/>
    <w:rsid w:val="00AA2008"/>
    <w:rsid w:val="00AA47E4"/>
    <w:rsid w:val="00AA6197"/>
    <w:rsid w:val="00AA6C70"/>
    <w:rsid w:val="00AB16FD"/>
    <w:rsid w:val="00AB4813"/>
    <w:rsid w:val="00AB51B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00"/>
    <w:rsid w:val="00B45B34"/>
    <w:rsid w:val="00B57047"/>
    <w:rsid w:val="00B61D86"/>
    <w:rsid w:val="00B6342D"/>
    <w:rsid w:val="00B726BD"/>
    <w:rsid w:val="00B732BC"/>
    <w:rsid w:val="00B74D1B"/>
    <w:rsid w:val="00B81DC6"/>
    <w:rsid w:val="00B90E33"/>
    <w:rsid w:val="00B91B95"/>
    <w:rsid w:val="00B9676B"/>
    <w:rsid w:val="00BA2EA5"/>
    <w:rsid w:val="00BA364B"/>
    <w:rsid w:val="00BB1190"/>
    <w:rsid w:val="00BB31D0"/>
    <w:rsid w:val="00BB3A11"/>
    <w:rsid w:val="00BB4DDB"/>
    <w:rsid w:val="00BB4EEB"/>
    <w:rsid w:val="00BB5D79"/>
    <w:rsid w:val="00BB5F02"/>
    <w:rsid w:val="00BC7892"/>
    <w:rsid w:val="00BE24D6"/>
    <w:rsid w:val="00BE2A51"/>
    <w:rsid w:val="00BE7EFA"/>
    <w:rsid w:val="00BF06AD"/>
    <w:rsid w:val="00BF2C67"/>
    <w:rsid w:val="00C04E92"/>
    <w:rsid w:val="00C04F4D"/>
    <w:rsid w:val="00C05AC9"/>
    <w:rsid w:val="00C06891"/>
    <w:rsid w:val="00C12E48"/>
    <w:rsid w:val="00C13D14"/>
    <w:rsid w:val="00C15F53"/>
    <w:rsid w:val="00C23F09"/>
    <w:rsid w:val="00C25356"/>
    <w:rsid w:val="00C328D0"/>
    <w:rsid w:val="00C44A0B"/>
    <w:rsid w:val="00C46BC1"/>
    <w:rsid w:val="00C5235F"/>
    <w:rsid w:val="00C54CE2"/>
    <w:rsid w:val="00C65068"/>
    <w:rsid w:val="00C66BF3"/>
    <w:rsid w:val="00C70140"/>
    <w:rsid w:val="00C73CA7"/>
    <w:rsid w:val="00C822F6"/>
    <w:rsid w:val="00C82896"/>
    <w:rsid w:val="00C82AC2"/>
    <w:rsid w:val="00C8456C"/>
    <w:rsid w:val="00C91E19"/>
    <w:rsid w:val="00C92402"/>
    <w:rsid w:val="00C92867"/>
    <w:rsid w:val="00C93B93"/>
    <w:rsid w:val="00CA037D"/>
    <w:rsid w:val="00CA0837"/>
    <w:rsid w:val="00CA1F47"/>
    <w:rsid w:val="00CA2442"/>
    <w:rsid w:val="00CA4725"/>
    <w:rsid w:val="00CB6246"/>
    <w:rsid w:val="00CC0A17"/>
    <w:rsid w:val="00CC62D8"/>
    <w:rsid w:val="00CD0F88"/>
    <w:rsid w:val="00CD0F93"/>
    <w:rsid w:val="00CD1BD1"/>
    <w:rsid w:val="00CD528D"/>
    <w:rsid w:val="00CD57D9"/>
    <w:rsid w:val="00CE0249"/>
    <w:rsid w:val="00CE78BF"/>
    <w:rsid w:val="00CF65EB"/>
    <w:rsid w:val="00CF72AD"/>
    <w:rsid w:val="00D02441"/>
    <w:rsid w:val="00D039F4"/>
    <w:rsid w:val="00D101EA"/>
    <w:rsid w:val="00D10496"/>
    <w:rsid w:val="00D11173"/>
    <w:rsid w:val="00D1215F"/>
    <w:rsid w:val="00D14AB9"/>
    <w:rsid w:val="00D16561"/>
    <w:rsid w:val="00D17FF8"/>
    <w:rsid w:val="00D268AC"/>
    <w:rsid w:val="00D27FF3"/>
    <w:rsid w:val="00D31C8E"/>
    <w:rsid w:val="00D343D0"/>
    <w:rsid w:val="00D3664D"/>
    <w:rsid w:val="00D4270B"/>
    <w:rsid w:val="00D500E9"/>
    <w:rsid w:val="00D507BC"/>
    <w:rsid w:val="00D560A9"/>
    <w:rsid w:val="00D6090A"/>
    <w:rsid w:val="00D62FA3"/>
    <w:rsid w:val="00D63B6F"/>
    <w:rsid w:val="00D64A90"/>
    <w:rsid w:val="00D67B5E"/>
    <w:rsid w:val="00D9410B"/>
    <w:rsid w:val="00D9695B"/>
    <w:rsid w:val="00DA2417"/>
    <w:rsid w:val="00DA333B"/>
    <w:rsid w:val="00DA5585"/>
    <w:rsid w:val="00DB02AC"/>
    <w:rsid w:val="00DB6AA2"/>
    <w:rsid w:val="00DE10D1"/>
    <w:rsid w:val="00DE2514"/>
    <w:rsid w:val="00DE6851"/>
    <w:rsid w:val="00DF03EE"/>
    <w:rsid w:val="00E01B71"/>
    <w:rsid w:val="00E05CC9"/>
    <w:rsid w:val="00E15573"/>
    <w:rsid w:val="00E25A5B"/>
    <w:rsid w:val="00E32D31"/>
    <w:rsid w:val="00E373C7"/>
    <w:rsid w:val="00E4267B"/>
    <w:rsid w:val="00E42F13"/>
    <w:rsid w:val="00E452DF"/>
    <w:rsid w:val="00E543CF"/>
    <w:rsid w:val="00E546FD"/>
    <w:rsid w:val="00E608F1"/>
    <w:rsid w:val="00E611B9"/>
    <w:rsid w:val="00E7144F"/>
    <w:rsid w:val="00E73D74"/>
    <w:rsid w:val="00E76A79"/>
    <w:rsid w:val="00E80692"/>
    <w:rsid w:val="00E80C24"/>
    <w:rsid w:val="00E92A76"/>
    <w:rsid w:val="00E93836"/>
    <w:rsid w:val="00E953DA"/>
    <w:rsid w:val="00EA7C16"/>
    <w:rsid w:val="00EC5281"/>
    <w:rsid w:val="00EC6A93"/>
    <w:rsid w:val="00EC791D"/>
    <w:rsid w:val="00EC7CA6"/>
    <w:rsid w:val="00ED3C5D"/>
    <w:rsid w:val="00ED4553"/>
    <w:rsid w:val="00F00D08"/>
    <w:rsid w:val="00F15583"/>
    <w:rsid w:val="00F200EE"/>
    <w:rsid w:val="00F209A3"/>
    <w:rsid w:val="00F22481"/>
    <w:rsid w:val="00F2542E"/>
    <w:rsid w:val="00F2651E"/>
    <w:rsid w:val="00F27278"/>
    <w:rsid w:val="00F344E3"/>
    <w:rsid w:val="00F34D58"/>
    <w:rsid w:val="00F41A9D"/>
    <w:rsid w:val="00F44314"/>
    <w:rsid w:val="00F54B9C"/>
    <w:rsid w:val="00F56E96"/>
    <w:rsid w:val="00F573DD"/>
    <w:rsid w:val="00F61E59"/>
    <w:rsid w:val="00F63D99"/>
    <w:rsid w:val="00F6426B"/>
    <w:rsid w:val="00F709B3"/>
    <w:rsid w:val="00F71A5E"/>
    <w:rsid w:val="00F75A63"/>
    <w:rsid w:val="00F9395E"/>
    <w:rsid w:val="00FA0AFC"/>
    <w:rsid w:val="00FA0E2A"/>
    <w:rsid w:val="00FA1C82"/>
    <w:rsid w:val="00FA2ED1"/>
    <w:rsid w:val="00FA4A52"/>
    <w:rsid w:val="00FB231B"/>
    <w:rsid w:val="00FB4045"/>
    <w:rsid w:val="00FB4D8E"/>
    <w:rsid w:val="00FC053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EBFDA6"/>
  <w15:docId w15:val="{A2CB15BF-5FF9-4180-9A1B-AB7F1A1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44A0B"/>
    <w:rPr>
      <w:sz w:val="16"/>
      <w:szCs w:val="16"/>
    </w:rPr>
  </w:style>
  <w:style w:type="paragraph" w:styleId="CommentText">
    <w:name w:val="annotation text"/>
    <w:basedOn w:val="Normal"/>
    <w:link w:val="CommentTextChar"/>
    <w:semiHidden/>
    <w:unhideWhenUsed/>
    <w:rsid w:val="00C44A0B"/>
    <w:pPr>
      <w:spacing w:line="240" w:lineRule="auto"/>
    </w:pPr>
    <w:rPr>
      <w:sz w:val="20"/>
      <w:szCs w:val="20"/>
    </w:rPr>
  </w:style>
  <w:style w:type="character" w:customStyle="1" w:styleId="CommentTextChar">
    <w:name w:val="Comment Text Char"/>
    <w:basedOn w:val="DefaultParagraphFont"/>
    <w:link w:val="CommentText"/>
    <w:semiHidden/>
    <w:rsid w:val="00C44A0B"/>
    <w:rPr>
      <w:spacing w:val="4"/>
    </w:rPr>
  </w:style>
  <w:style w:type="paragraph" w:styleId="CommentSubject">
    <w:name w:val="annotation subject"/>
    <w:basedOn w:val="CommentText"/>
    <w:next w:val="CommentText"/>
    <w:link w:val="CommentSubjectChar"/>
    <w:semiHidden/>
    <w:unhideWhenUsed/>
    <w:rsid w:val="00C44A0B"/>
    <w:rPr>
      <w:b/>
      <w:bCs/>
    </w:rPr>
  </w:style>
  <w:style w:type="character" w:customStyle="1" w:styleId="CommentSubjectChar">
    <w:name w:val="Comment Subject Char"/>
    <w:basedOn w:val="CommentTextChar"/>
    <w:link w:val="CommentSubject"/>
    <w:semiHidden/>
    <w:rsid w:val="00C44A0B"/>
    <w:rPr>
      <w:b/>
      <w:bCs/>
      <w:spacing w:val="4"/>
    </w:rPr>
  </w:style>
  <w:style w:type="paragraph" w:styleId="BalloonText">
    <w:name w:val="Balloon Text"/>
    <w:basedOn w:val="Normal"/>
    <w:link w:val="BalloonTextChar"/>
    <w:semiHidden/>
    <w:unhideWhenUsed/>
    <w:rsid w:val="00C44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A0B"/>
    <w:rPr>
      <w:rFonts w:ascii="Segoe UI" w:hAnsi="Segoe UI" w:cs="Segoe UI"/>
      <w:spacing w:val="4"/>
      <w:sz w:val="18"/>
      <w:szCs w:val="18"/>
    </w:rPr>
  </w:style>
  <w:style w:type="character" w:styleId="LineNumber">
    <w:name w:val="line number"/>
    <w:basedOn w:val="DefaultParagraphFont"/>
    <w:semiHidden/>
    <w:unhideWhenUsed/>
    <w:rsid w:val="00E9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44124">
      <w:bodyDiv w:val="1"/>
      <w:marLeft w:val="0"/>
      <w:marRight w:val="0"/>
      <w:marTop w:val="0"/>
      <w:marBottom w:val="0"/>
      <w:divBdr>
        <w:top w:val="none" w:sz="0" w:space="0" w:color="auto"/>
        <w:left w:val="none" w:sz="0" w:space="0" w:color="auto"/>
        <w:bottom w:val="none" w:sz="0" w:space="0" w:color="auto"/>
        <w:right w:val="none" w:sz="0" w:space="0" w:color="auto"/>
      </w:divBdr>
    </w:div>
    <w:div w:id="193523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1169</Words>
  <Characters>6222</Characters>
  <Application>Microsoft Office Word</Application>
  <DocSecurity>0</DocSecurity>
  <Lines>142</Lines>
  <Paragraphs>25</Paragraphs>
  <ScaleCrop>false</ScaleCrop>
  <HeadingPairs>
    <vt:vector size="2" baseType="variant">
      <vt:variant>
        <vt:lpstr>Title</vt:lpstr>
      </vt:variant>
      <vt:variant>
        <vt:i4>1</vt:i4>
      </vt:variant>
    </vt:vector>
  </HeadingPairs>
  <TitlesOfParts>
    <vt:vector size="1" baseType="lpstr">
      <vt:lpstr>S2412</vt:lpstr>
    </vt:vector>
  </TitlesOfParts>
  <Manager>R225</Manager>
  <Company>NJ Office of Legislative Services</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S2412 1R</dc:title>
  <dc:subject/>
  <dc:creator>Senator  CRYAN</dc:creator>
  <cp:keywords>S2412|4|LG |317|266|252|!|0|</cp:keywords>
  <dc:description>INTRODUCED MAY 7, 2020_x000d_
Amended 5/28/20</dc:description>
  <cp:lastModifiedBy>Todaro, Vivian</cp:lastModifiedBy>
  <cp:revision>2</cp:revision>
  <cp:lastPrinted>2020-06-29T21:51:00Z</cp:lastPrinted>
  <dcterms:created xsi:type="dcterms:W3CDTF">2020-06-29T21:51:00Z</dcterms:created>
  <dcterms:modified xsi:type="dcterms:W3CDTF">2020-06-29T21:51:00Z</dcterms:modified>
  <cp:category>s.1: 29:4A-1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