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C57CA" w14:textId="6BB32F9C" w:rsidR="00725599" w:rsidRPr="00725599" w:rsidRDefault="00725599" w:rsidP="001A4BCC">
      <w:pPr>
        <w:widowControl w:val="0"/>
        <w:autoSpaceDE w:val="0"/>
        <w:autoSpaceDN w:val="0"/>
        <w:spacing w:after="0" w:line="240" w:lineRule="auto"/>
        <w:ind w:right="0" w:firstLine="0"/>
        <w:jc w:val="center"/>
        <w:rPr>
          <w:b/>
          <w:color w:val="auto"/>
          <w:szCs w:val="24"/>
        </w:rPr>
      </w:pPr>
      <w:r w:rsidRPr="00A5025E">
        <w:rPr>
          <w:color w:val="auto"/>
          <w:szCs w:val="24"/>
        </w:rPr>
        <w:t>SENATE BILL NO.</w:t>
      </w:r>
      <w:r w:rsidRPr="001A4BCC">
        <w:rPr>
          <w:b/>
          <w:color w:val="auto"/>
          <w:szCs w:val="24"/>
        </w:rPr>
        <w:t xml:space="preserve"> </w:t>
      </w:r>
      <w:r w:rsidRPr="00725599">
        <w:rPr>
          <w:b/>
          <w:color w:val="auto"/>
          <w:szCs w:val="24"/>
        </w:rPr>
        <w:t>2436</w:t>
      </w:r>
    </w:p>
    <w:p w14:paraId="7FC0AEAE" w14:textId="77777777" w:rsidR="00725599" w:rsidRPr="00A5025E" w:rsidRDefault="00725599" w:rsidP="001A4BCC">
      <w:pPr>
        <w:widowControl w:val="0"/>
        <w:autoSpaceDE w:val="0"/>
        <w:autoSpaceDN w:val="0"/>
        <w:spacing w:after="0" w:line="240" w:lineRule="auto"/>
        <w:ind w:right="0" w:firstLine="0"/>
        <w:jc w:val="center"/>
        <w:rPr>
          <w:color w:val="auto"/>
          <w:szCs w:val="24"/>
        </w:rPr>
      </w:pPr>
      <w:r w:rsidRPr="00A5025E">
        <w:rPr>
          <w:color w:val="auto"/>
          <w:szCs w:val="24"/>
        </w:rPr>
        <w:t>(First Reprint)</w:t>
      </w:r>
    </w:p>
    <w:p w14:paraId="1DFA424C" w14:textId="77777777" w:rsidR="00725599" w:rsidRPr="00725599" w:rsidRDefault="00725599" w:rsidP="001A4BCC">
      <w:pPr>
        <w:widowControl w:val="0"/>
        <w:autoSpaceDE w:val="0"/>
        <w:autoSpaceDN w:val="0"/>
        <w:spacing w:after="0" w:line="240" w:lineRule="auto"/>
        <w:ind w:right="0" w:firstLine="0"/>
        <w:jc w:val="left"/>
        <w:rPr>
          <w:b/>
          <w:color w:val="auto"/>
          <w:szCs w:val="24"/>
        </w:rPr>
      </w:pPr>
    </w:p>
    <w:p w14:paraId="24CE2578" w14:textId="77777777" w:rsidR="00725599" w:rsidRPr="00725599" w:rsidRDefault="00725599" w:rsidP="00DA4785">
      <w:pPr>
        <w:widowControl w:val="0"/>
        <w:autoSpaceDE w:val="0"/>
        <w:autoSpaceDN w:val="0"/>
        <w:spacing w:before="210" w:after="0" w:line="240" w:lineRule="auto"/>
        <w:ind w:right="0" w:firstLine="0"/>
        <w:jc w:val="left"/>
        <w:rPr>
          <w:color w:val="auto"/>
          <w:szCs w:val="24"/>
        </w:rPr>
      </w:pPr>
      <w:r w:rsidRPr="00725599">
        <w:rPr>
          <w:color w:val="auto"/>
          <w:szCs w:val="24"/>
        </w:rPr>
        <w:t>To the Senate:</w:t>
      </w:r>
    </w:p>
    <w:p w14:paraId="1380277E" w14:textId="77777777" w:rsidR="00725599" w:rsidRPr="00725599" w:rsidRDefault="00725599" w:rsidP="00DA4785">
      <w:pPr>
        <w:widowControl w:val="0"/>
        <w:autoSpaceDE w:val="0"/>
        <w:autoSpaceDN w:val="0"/>
        <w:spacing w:before="10" w:after="0" w:line="240" w:lineRule="auto"/>
        <w:ind w:right="0" w:firstLine="0"/>
        <w:jc w:val="left"/>
        <w:rPr>
          <w:color w:val="auto"/>
          <w:szCs w:val="24"/>
        </w:rPr>
      </w:pPr>
    </w:p>
    <w:p w14:paraId="3677B769" w14:textId="3F5B5787" w:rsidR="00725599" w:rsidRPr="00725599" w:rsidRDefault="00725599" w:rsidP="00DA4785">
      <w:pPr>
        <w:widowControl w:val="0"/>
        <w:autoSpaceDE w:val="0"/>
        <w:autoSpaceDN w:val="0"/>
        <w:spacing w:before="1" w:after="0"/>
        <w:ind w:right="0" w:firstLine="719"/>
        <w:rPr>
          <w:color w:val="auto"/>
          <w:szCs w:val="24"/>
        </w:rPr>
      </w:pPr>
      <w:r w:rsidRPr="00725599">
        <w:rPr>
          <w:color w:val="auto"/>
          <w:szCs w:val="24"/>
        </w:rPr>
        <w:t>Pursuant to Article V, Section I, Paragraph 14 of the New</w:t>
      </w:r>
      <w:r w:rsidR="007257DD" w:rsidRPr="001A4BCC">
        <w:rPr>
          <w:color w:val="auto"/>
          <w:szCs w:val="24"/>
        </w:rPr>
        <w:t> </w:t>
      </w:r>
      <w:r w:rsidRPr="00725599">
        <w:rPr>
          <w:color w:val="auto"/>
          <w:szCs w:val="24"/>
        </w:rPr>
        <w:t>Jersey Constitution, I am returning Senate Bill No. 2436 (First</w:t>
      </w:r>
      <w:r w:rsidR="007257DD" w:rsidRPr="001A4BCC">
        <w:rPr>
          <w:color w:val="auto"/>
          <w:szCs w:val="24"/>
        </w:rPr>
        <w:t> </w:t>
      </w:r>
      <w:r w:rsidRPr="00725599">
        <w:rPr>
          <w:color w:val="auto"/>
          <w:szCs w:val="24"/>
        </w:rPr>
        <w:t>Reprint) with my recommendations for reconsideration.</w:t>
      </w:r>
    </w:p>
    <w:p w14:paraId="29C3F82F" w14:textId="1D3ACC11" w:rsidR="00725599" w:rsidRPr="00725599" w:rsidRDefault="00725599" w:rsidP="00DA4785">
      <w:pPr>
        <w:widowControl w:val="0"/>
        <w:autoSpaceDE w:val="0"/>
        <w:autoSpaceDN w:val="0"/>
        <w:spacing w:before="1" w:after="0"/>
        <w:ind w:right="0" w:firstLine="719"/>
        <w:rPr>
          <w:color w:val="auto"/>
          <w:szCs w:val="24"/>
        </w:rPr>
      </w:pPr>
      <w:r w:rsidRPr="00725599">
        <w:rPr>
          <w:color w:val="auto"/>
          <w:szCs w:val="24"/>
        </w:rPr>
        <w:t xml:space="preserve">Senate Bill No. 2436 </w:t>
      </w:r>
      <w:r w:rsidR="009D42CB">
        <w:rPr>
          <w:color w:val="auto"/>
          <w:szCs w:val="24"/>
        </w:rPr>
        <w:t xml:space="preserve">(First Reprint) </w:t>
      </w:r>
      <w:r w:rsidRPr="00725599">
        <w:rPr>
          <w:color w:val="auto"/>
          <w:szCs w:val="24"/>
        </w:rPr>
        <w:t>would allow licensed pharmacists to order and administer to any individual any test for COVID-19 that has been authorized by the Food and Drug Administration</w:t>
      </w:r>
      <w:r w:rsidR="001A4BCC">
        <w:rPr>
          <w:color w:val="auto"/>
          <w:szCs w:val="24"/>
        </w:rPr>
        <w:t xml:space="preserve">, </w:t>
      </w:r>
      <w:r w:rsidRPr="00725599">
        <w:rPr>
          <w:color w:val="auto"/>
          <w:szCs w:val="24"/>
        </w:rPr>
        <w:t>provided certain safeguards are met.  If an individual tests positive for COVID-19 using a test administered by the pharmacist, the pharmacist would be required to advise the individual on self-isolation guidance and provide the individual with any necessary resource materials.  If the individual who tests positive is at high-risk for health complications, the pharmacist would be required to advise the individual to promptly seek treatment at a hospital or contact their health care provider.  Additionally, the pharmacist would be required to comply with all other State and federal requirements pertaining to positive COVID</w:t>
      </w:r>
      <w:r w:rsidR="001B412B">
        <w:rPr>
          <w:color w:val="auto"/>
          <w:szCs w:val="24"/>
        </w:rPr>
        <w:noBreakHyphen/>
      </w:r>
      <w:r w:rsidRPr="00725599">
        <w:rPr>
          <w:color w:val="auto"/>
          <w:szCs w:val="24"/>
        </w:rPr>
        <w:t>19 tests, including reporting and data collection requirements.</w:t>
      </w:r>
    </w:p>
    <w:p w14:paraId="5E14F006" w14:textId="751A8E69" w:rsidR="00725599" w:rsidRPr="00725599" w:rsidRDefault="00725599" w:rsidP="00DA4785">
      <w:pPr>
        <w:widowControl w:val="0"/>
        <w:autoSpaceDE w:val="0"/>
        <w:autoSpaceDN w:val="0"/>
        <w:spacing w:before="1" w:after="0"/>
        <w:ind w:right="0" w:firstLine="719"/>
        <w:rPr>
          <w:color w:val="auto"/>
          <w:szCs w:val="24"/>
        </w:rPr>
      </w:pPr>
      <w:r w:rsidRPr="00725599">
        <w:rPr>
          <w:color w:val="auto"/>
          <w:szCs w:val="24"/>
        </w:rPr>
        <w:t>I commend the bill’s sponsors for seeking to expand the health care workforce authorized to conduct COVID-19 testing.  Widespread testing, and the data it yields, is critical to maintaining New</w:t>
      </w:r>
      <w:r w:rsidR="007257DD" w:rsidRPr="001A4BCC">
        <w:rPr>
          <w:color w:val="auto"/>
          <w:szCs w:val="24"/>
        </w:rPr>
        <w:t> </w:t>
      </w:r>
      <w:r w:rsidRPr="00725599">
        <w:rPr>
          <w:color w:val="auto"/>
          <w:szCs w:val="24"/>
        </w:rPr>
        <w:t xml:space="preserve">Jersey’s progress in flattening the curve and lowering transmission rates.  As one of the most publicly accessible groups of health care professionals, pharmacists are uniquely positioned to assist in the State’s COVID-19 response. </w:t>
      </w:r>
    </w:p>
    <w:p w14:paraId="644904EC" w14:textId="6BDEBCA1" w:rsidR="00725599" w:rsidRPr="00725599" w:rsidRDefault="00725599" w:rsidP="00DA4785">
      <w:pPr>
        <w:widowControl w:val="0"/>
        <w:autoSpaceDE w:val="0"/>
        <w:autoSpaceDN w:val="0"/>
        <w:spacing w:before="1" w:after="0"/>
        <w:ind w:right="0" w:firstLine="719"/>
        <w:rPr>
          <w:color w:val="auto"/>
          <w:szCs w:val="24"/>
        </w:rPr>
      </w:pPr>
      <w:r w:rsidRPr="00725599">
        <w:rPr>
          <w:color w:val="auto"/>
          <w:szCs w:val="24"/>
        </w:rPr>
        <w:t xml:space="preserve">In addition to sharing the sponsors’ commitment to ensuring convenient, readily available testing, I am also recommending amendments to expand the authorization in the bill to include </w:t>
      </w:r>
      <w:r w:rsidRPr="00725599">
        <w:rPr>
          <w:color w:val="auto"/>
          <w:szCs w:val="24"/>
        </w:rPr>
        <w:lastRenderedPageBreak/>
        <w:t>testing for COVID-19 antibodies.  T</w:t>
      </w:r>
      <w:bookmarkStart w:id="0" w:name="_GoBack"/>
      <w:bookmarkEnd w:id="0"/>
      <w:r w:rsidRPr="00725599">
        <w:rPr>
          <w:color w:val="auto"/>
          <w:szCs w:val="24"/>
        </w:rPr>
        <w:t xml:space="preserve">esting for and collecting data related to antibodies enables epidemiologists to </w:t>
      </w:r>
      <w:r w:rsidR="00F1323C">
        <w:rPr>
          <w:color w:val="auto"/>
          <w:szCs w:val="24"/>
        </w:rPr>
        <w:t>characterize</w:t>
      </w:r>
      <w:r w:rsidRPr="00725599">
        <w:rPr>
          <w:color w:val="auto"/>
          <w:szCs w:val="24"/>
        </w:rPr>
        <w:t xml:space="preserve"> exposure and </w:t>
      </w:r>
      <w:r w:rsidR="00F1323C">
        <w:rPr>
          <w:color w:val="auto"/>
          <w:szCs w:val="24"/>
        </w:rPr>
        <w:t>increases</w:t>
      </w:r>
      <w:r w:rsidRPr="00725599">
        <w:rPr>
          <w:color w:val="auto"/>
          <w:szCs w:val="24"/>
        </w:rPr>
        <w:t xml:space="preserve"> our understanding of the virus.  This revision also makes the bill consistent with the Division of Consumer Affairs </w:t>
      </w:r>
      <w:r w:rsidR="001A4BCC">
        <w:rPr>
          <w:color w:val="auto"/>
          <w:szCs w:val="24"/>
        </w:rPr>
        <w:t xml:space="preserve">(the “Division”) </w:t>
      </w:r>
      <w:r w:rsidRPr="00725599">
        <w:rPr>
          <w:color w:val="auto"/>
          <w:szCs w:val="24"/>
        </w:rPr>
        <w:t xml:space="preserve">Administrative Order 2020-06, issued by the Division in May.  I am also recommending modest revisions to clarify that administering a test includes collecting or overseeing the collection of a specimen and causing the specimen to be sent to a laboratory with the capacity to perform the test.  Finally, my recommended changes specify when a specimen may be tested at a pharmacy and when it must be conducted at an off-site laboratory, consistent with </w:t>
      </w:r>
      <w:r w:rsidR="001A4BCC">
        <w:rPr>
          <w:color w:val="auto"/>
          <w:szCs w:val="24"/>
        </w:rPr>
        <w:t xml:space="preserve">the Division’s </w:t>
      </w:r>
      <w:r w:rsidRPr="00725599">
        <w:rPr>
          <w:color w:val="auto"/>
          <w:szCs w:val="24"/>
        </w:rPr>
        <w:t xml:space="preserve">Administrative Order 2020-06.    </w:t>
      </w:r>
    </w:p>
    <w:p w14:paraId="47C5194B" w14:textId="5BE7FCDE" w:rsidR="00725599" w:rsidRPr="00725599" w:rsidRDefault="00725599" w:rsidP="00DA4785">
      <w:pPr>
        <w:widowControl w:val="0"/>
        <w:autoSpaceDE w:val="0"/>
        <w:autoSpaceDN w:val="0"/>
        <w:spacing w:after="0"/>
        <w:ind w:right="0" w:firstLine="720"/>
        <w:rPr>
          <w:color w:val="auto"/>
          <w:szCs w:val="24"/>
        </w:rPr>
      </w:pPr>
      <w:r w:rsidRPr="00725599">
        <w:rPr>
          <w:color w:val="auto"/>
          <w:szCs w:val="24"/>
        </w:rPr>
        <w:t>Accordingly, I herewith return Senate Bill No. 2436 (First</w:t>
      </w:r>
      <w:r w:rsidR="007257DD" w:rsidRPr="001A4BCC">
        <w:rPr>
          <w:color w:val="auto"/>
          <w:szCs w:val="24"/>
        </w:rPr>
        <w:t> </w:t>
      </w:r>
      <w:r w:rsidRPr="00725599">
        <w:rPr>
          <w:color w:val="auto"/>
          <w:szCs w:val="24"/>
        </w:rPr>
        <w:t>Reprint) and recommend that it be amended as follows:</w:t>
      </w:r>
    </w:p>
    <w:p w14:paraId="6F683C44"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Title</w:t>
      </w:r>
      <w:bookmarkStart w:id="1" w:name="_Hlk509994608"/>
      <w:r w:rsidRPr="00725599">
        <w:rPr>
          <w:color w:val="auto"/>
          <w:szCs w:val="24"/>
          <w:u w:val="single"/>
        </w:rPr>
        <w:t>, Line 1</w:t>
      </w:r>
      <w:r w:rsidRPr="00725599">
        <w:rPr>
          <w:color w:val="auto"/>
          <w:szCs w:val="24"/>
        </w:rPr>
        <w:t>:</w:t>
      </w:r>
      <w:r w:rsidRPr="00725599">
        <w:rPr>
          <w:color w:val="auto"/>
          <w:szCs w:val="24"/>
        </w:rPr>
        <w:tab/>
        <w:t xml:space="preserve">Delete “coronavirus disease 2019” and insert “COVID-19 or COVID-19 antibodies” </w:t>
      </w:r>
    </w:p>
    <w:p w14:paraId="0CDCFDBC" w14:textId="77777777" w:rsidR="00725599" w:rsidRPr="00725599" w:rsidRDefault="00725599" w:rsidP="001A4BCC">
      <w:pPr>
        <w:widowControl w:val="0"/>
        <w:autoSpaceDE w:val="0"/>
        <w:autoSpaceDN w:val="0"/>
        <w:spacing w:after="0" w:line="240" w:lineRule="exact"/>
        <w:ind w:right="0" w:hanging="5040"/>
        <w:contextualSpacing/>
        <w:rPr>
          <w:color w:val="auto"/>
          <w:spacing w:val="-1"/>
          <w:szCs w:val="24"/>
        </w:rPr>
      </w:pPr>
    </w:p>
    <w:bookmarkEnd w:id="1"/>
    <w:p w14:paraId="14FEC0AF"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w:t>
      </w:r>
      <w:r w:rsidRPr="00725599">
        <w:rPr>
          <w:color w:val="auto"/>
          <w:spacing w:val="-14"/>
          <w:szCs w:val="24"/>
          <w:u w:val="single"/>
        </w:rPr>
        <w:t xml:space="preserve"> </w:t>
      </w:r>
      <w:r w:rsidRPr="00725599">
        <w:rPr>
          <w:color w:val="auto"/>
          <w:szCs w:val="24"/>
          <w:u w:val="single"/>
        </w:rPr>
        <w:t>Lines 8-9</w:t>
      </w:r>
      <w:r w:rsidRPr="00725599">
        <w:rPr>
          <w:color w:val="auto"/>
          <w:szCs w:val="24"/>
        </w:rPr>
        <w:t>:</w:t>
      </w:r>
      <w:r w:rsidRPr="00725599">
        <w:rPr>
          <w:color w:val="auto"/>
          <w:szCs w:val="24"/>
        </w:rPr>
        <w:tab/>
        <w:t xml:space="preserve">Delete “Consistent with federal guidance and waivers, a” and insert “A” </w:t>
      </w:r>
    </w:p>
    <w:p w14:paraId="0C32B392"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101FB225"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w:t>
      </w:r>
      <w:r w:rsidRPr="00725599">
        <w:rPr>
          <w:color w:val="auto"/>
          <w:spacing w:val="-13"/>
          <w:szCs w:val="24"/>
          <w:u w:val="single"/>
        </w:rPr>
        <w:t xml:space="preserve"> </w:t>
      </w:r>
      <w:r w:rsidRPr="00725599">
        <w:rPr>
          <w:color w:val="auto"/>
          <w:szCs w:val="24"/>
          <w:u w:val="single"/>
        </w:rPr>
        <w:t>Line 10</w:t>
      </w:r>
      <w:r w:rsidRPr="00725599">
        <w:rPr>
          <w:color w:val="auto"/>
          <w:szCs w:val="24"/>
        </w:rPr>
        <w:t>:</w:t>
      </w:r>
      <w:r w:rsidRPr="00725599">
        <w:rPr>
          <w:color w:val="auto"/>
          <w:szCs w:val="24"/>
        </w:rPr>
        <w:tab/>
      </w:r>
      <w:bookmarkStart w:id="2" w:name="_Hlk509995228"/>
      <w:r w:rsidRPr="00725599">
        <w:rPr>
          <w:color w:val="auto"/>
          <w:szCs w:val="24"/>
        </w:rPr>
        <w:t>Delete “administer” and insert “cause to be administered”</w:t>
      </w:r>
    </w:p>
    <w:p w14:paraId="2B020192"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bookmarkEnd w:id="2"/>
    <w:p w14:paraId="07030680"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w:t>
      </w:r>
      <w:r w:rsidRPr="00725599">
        <w:rPr>
          <w:color w:val="auto"/>
          <w:spacing w:val="-11"/>
          <w:szCs w:val="24"/>
          <w:u w:val="single"/>
        </w:rPr>
        <w:t xml:space="preserve"> </w:t>
      </w:r>
      <w:r w:rsidRPr="00725599">
        <w:rPr>
          <w:color w:val="auto"/>
          <w:szCs w:val="24"/>
          <w:u w:val="single"/>
        </w:rPr>
        <w:t>Line</w:t>
      </w:r>
      <w:r w:rsidRPr="00725599">
        <w:rPr>
          <w:color w:val="auto"/>
          <w:spacing w:val="-3"/>
          <w:szCs w:val="24"/>
          <w:u w:val="single"/>
        </w:rPr>
        <w:t xml:space="preserve"> 11</w:t>
      </w:r>
      <w:r w:rsidRPr="00725599">
        <w:rPr>
          <w:color w:val="auto"/>
          <w:szCs w:val="24"/>
        </w:rPr>
        <w:t>:</w:t>
      </w:r>
      <w:r w:rsidRPr="00725599">
        <w:rPr>
          <w:color w:val="auto"/>
          <w:szCs w:val="24"/>
        </w:rPr>
        <w:tab/>
        <w:t xml:space="preserve">Delete “coronavirus disease 2019” and insert “SARS-CoV-2” </w:t>
      </w:r>
    </w:p>
    <w:p w14:paraId="1A1D026B"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65F272E6"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 Line 11</w:t>
      </w:r>
      <w:r w:rsidRPr="00725599">
        <w:rPr>
          <w:color w:val="auto"/>
          <w:szCs w:val="24"/>
        </w:rPr>
        <w:t xml:space="preserve">: </w:t>
      </w:r>
      <w:r w:rsidRPr="00725599">
        <w:rPr>
          <w:color w:val="auto"/>
          <w:szCs w:val="24"/>
        </w:rPr>
        <w:tab/>
        <w:t>After “(COVID-19)” insert “or COVID-19 antibodies”</w:t>
      </w:r>
    </w:p>
    <w:p w14:paraId="212ECBF4"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1B5326C9"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 Line 12</w:t>
      </w:r>
      <w:r w:rsidRPr="00725599">
        <w:rPr>
          <w:color w:val="auto"/>
          <w:szCs w:val="24"/>
        </w:rPr>
        <w:t>:</w:t>
      </w:r>
      <w:r w:rsidRPr="00725599">
        <w:rPr>
          <w:color w:val="auto"/>
          <w:szCs w:val="24"/>
        </w:rPr>
        <w:tab/>
        <w:t>Delete “authorized for use” and insert “granted emergency use authorization or approval”</w:t>
      </w:r>
    </w:p>
    <w:p w14:paraId="6003AA02"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079E0963"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 Line 28</w:t>
      </w:r>
      <w:r w:rsidRPr="00725599">
        <w:rPr>
          <w:color w:val="auto"/>
          <w:szCs w:val="24"/>
        </w:rPr>
        <w:t>:</w:t>
      </w:r>
      <w:r w:rsidRPr="00725599">
        <w:rPr>
          <w:color w:val="auto"/>
          <w:szCs w:val="24"/>
        </w:rPr>
        <w:tab/>
        <w:t>After “COVID-19” insert “, and complies with any other applicable requirements that the New Jersey Board of Pharmacy may establish.</w:t>
      </w:r>
    </w:p>
    <w:p w14:paraId="54DADBB4"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rPr>
        <w:tab/>
      </w:r>
    </w:p>
    <w:p w14:paraId="6B2B5FD4"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rPr>
        <w:tab/>
        <w:t>For purposes of this section, causing a test to be administered shall include collecting a specimen, or overseeing the collection of a specimen, and causing the specimen to be sent to a laboratory with the capacity to perform the test</w:t>
      </w:r>
      <w:bookmarkStart w:id="3" w:name="_Hlk47622913"/>
      <w:r w:rsidRPr="00725599">
        <w:rPr>
          <w:color w:val="auto"/>
          <w:szCs w:val="24"/>
        </w:rPr>
        <w:t xml:space="preserve">.  The </w:t>
      </w:r>
      <w:r w:rsidRPr="00725599">
        <w:rPr>
          <w:color w:val="auto"/>
          <w:szCs w:val="24"/>
        </w:rPr>
        <w:lastRenderedPageBreak/>
        <w:t xml:space="preserve">laboratory shall be authorized under federal and State law to perform the test, including but not limited to, the Clinical Laboratory Improvement Amendments (“CLIA”), 42 U.S.C. 263a, the New Jersey Clinical Laboratory Improvement Act, </w:t>
      </w:r>
      <w:r w:rsidRPr="00725599">
        <w:rPr>
          <w:color w:val="auto"/>
          <w:szCs w:val="24"/>
          <w:u w:val="single"/>
        </w:rPr>
        <w:t>N.J.S.A.</w:t>
      </w:r>
      <w:r w:rsidRPr="00725599">
        <w:rPr>
          <w:color w:val="auto"/>
          <w:szCs w:val="24"/>
        </w:rPr>
        <w:t xml:space="preserve"> 45:9-42.26 et seq., and associated regulations.  </w:t>
      </w:r>
      <w:bookmarkEnd w:id="3"/>
      <w:r w:rsidRPr="00725599">
        <w:rPr>
          <w:color w:val="auto"/>
          <w:szCs w:val="24"/>
        </w:rPr>
        <w:t>If the test which is administered is one for which the analysis can be performed at a CLIA waived facility, and if the pharmacy at which the specimen is collected has a CLIA waiver, then the test may be conducted at that pharmacy.  In all other cases, the test shall be conducted at an off-site laboratory, which laboratory shall report the results of the test to the pharmacist who ordered or administered the test”</w:t>
      </w:r>
    </w:p>
    <w:p w14:paraId="7A08473E"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2AA1FFD9"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 Line 34</w:t>
      </w:r>
      <w:r w:rsidRPr="00725599">
        <w:rPr>
          <w:color w:val="auto"/>
          <w:szCs w:val="24"/>
        </w:rPr>
        <w:t>:</w:t>
      </w:r>
      <w:r w:rsidRPr="00725599">
        <w:rPr>
          <w:color w:val="auto"/>
          <w:szCs w:val="24"/>
        </w:rPr>
        <w:tab/>
        <w:t>After “Guide” insert “developed by the New Jersey Department of Health”</w:t>
      </w:r>
    </w:p>
    <w:p w14:paraId="23E0F815"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p>
    <w:p w14:paraId="089A05B7"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u w:val="single"/>
        </w:rPr>
        <w:t>Page 2, Section 1, Line 37</w:t>
      </w:r>
      <w:r w:rsidRPr="00725599">
        <w:rPr>
          <w:color w:val="auto"/>
          <w:szCs w:val="24"/>
        </w:rPr>
        <w:t>:</w:t>
      </w:r>
      <w:r w:rsidRPr="00725599">
        <w:rPr>
          <w:color w:val="auto"/>
          <w:szCs w:val="24"/>
        </w:rPr>
        <w:tab/>
        <w:t>After “shall” insert “also”</w:t>
      </w:r>
    </w:p>
    <w:p w14:paraId="6223DE45" w14:textId="77777777" w:rsidR="00725599" w:rsidRPr="00725599" w:rsidRDefault="00725599" w:rsidP="001A4BCC">
      <w:pPr>
        <w:widowControl w:val="0"/>
        <w:autoSpaceDE w:val="0"/>
        <w:autoSpaceDN w:val="0"/>
        <w:spacing w:after="0" w:line="240" w:lineRule="exact"/>
        <w:ind w:left="5040" w:right="0" w:firstLine="0"/>
        <w:contextualSpacing/>
        <w:rPr>
          <w:color w:val="auto"/>
          <w:szCs w:val="24"/>
        </w:rPr>
      </w:pPr>
    </w:p>
    <w:p w14:paraId="1512EE70" w14:textId="77777777" w:rsidR="00725599" w:rsidRPr="00725599" w:rsidRDefault="00725599" w:rsidP="001A4BCC">
      <w:pPr>
        <w:widowControl w:val="0"/>
        <w:autoSpaceDE w:val="0"/>
        <w:autoSpaceDN w:val="0"/>
        <w:spacing w:after="0" w:line="240" w:lineRule="exact"/>
        <w:ind w:left="5040" w:right="0" w:hanging="5040"/>
        <w:contextualSpacing/>
        <w:rPr>
          <w:color w:val="auto"/>
          <w:szCs w:val="24"/>
        </w:rPr>
      </w:pPr>
      <w:r w:rsidRPr="00725599">
        <w:rPr>
          <w:color w:val="auto"/>
          <w:szCs w:val="24"/>
        </w:rPr>
        <w:tab/>
        <w:t>Respectfully,</w:t>
      </w:r>
    </w:p>
    <w:p w14:paraId="0200B147" w14:textId="77777777" w:rsidR="009336E0" w:rsidRDefault="009336E0" w:rsidP="009336E0">
      <w:pPr>
        <w:widowControl w:val="0"/>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autoSpaceDE w:val="0"/>
        <w:autoSpaceDN w:val="0"/>
        <w:spacing w:after="0" w:line="240" w:lineRule="exact"/>
        <w:ind w:right="0" w:firstLine="0"/>
        <w:contextualSpacing/>
        <w:rPr>
          <w:color w:val="auto"/>
          <w:szCs w:val="24"/>
        </w:rPr>
      </w:pPr>
    </w:p>
    <w:p w14:paraId="7CC31A25" w14:textId="6575E9F5" w:rsidR="00725599" w:rsidRDefault="009336E0" w:rsidP="009336E0">
      <w:pPr>
        <w:widowControl w:val="0"/>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autoSpaceDE w:val="0"/>
        <w:autoSpaceDN w:val="0"/>
        <w:spacing w:after="0" w:line="240" w:lineRule="exact"/>
        <w:ind w:right="0" w:firstLine="0"/>
        <w:contextualSpacing/>
        <w:rPr>
          <w:rFonts w:eastAsia="Calibri"/>
          <w:color w:val="auto"/>
          <w:szCs w:val="24"/>
        </w:rPr>
      </w:pPr>
      <w:r>
        <w:rPr>
          <w:color w:val="auto"/>
          <w:szCs w:val="24"/>
        </w:rPr>
        <w:tab/>
        <w:t>[seal]</w:t>
      </w:r>
      <w:r w:rsidR="00725599" w:rsidRPr="00725599">
        <w:rPr>
          <w:color w:val="auto"/>
          <w:szCs w:val="24"/>
        </w:rPr>
        <w:tab/>
      </w:r>
      <w:r w:rsidR="00725599" w:rsidRPr="00725599">
        <w:rPr>
          <w:color w:val="auto"/>
          <w:szCs w:val="24"/>
        </w:rPr>
        <w:tab/>
      </w:r>
      <w:r w:rsidR="00725599" w:rsidRPr="00725599">
        <w:rPr>
          <w:color w:val="auto"/>
          <w:szCs w:val="24"/>
        </w:rPr>
        <w:tab/>
      </w:r>
      <w:r w:rsidR="00725599" w:rsidRPr="00725599">
        <w:rPr>
          <w:color w:val="auto"/>
          <w:szCs w:val="24"/>
        </w:rPr>
        <w:tab/>
      </w:r>
      <w:r w:rsidR="00725599" w:rsidRPr="00725599">
        <w:rPr>
          <w:color w:val="auto"/>
          <w:szCs w:val="24"/>
        </w:rPr>
        <w:tab/>
      </w:r>
      <w:r w:rsidR="007257DD" w:rsidRPr="001A4BCC">
        <w:rPr>
          <w:color w:val="auto"/>
          <w:szCs w:val="24"/>
        </w:rPr>
        <w:tab/>
      </w:r>
      <w:r>
        <w:rPr>
          <w:color w:val="auto"/>
          <w:szCs w:val="24"/>
        </w:rPr>
        <w:t xml:space="preserve">/s/ </w:t>
      </w:r>
      <w:r w:rsidR="00725599" w:rsidRPr="00725599">
        <w:rPr>
          <w:rFonts w:eastAsia="Calibri"/>
          <w:color w:val="auto"/>
          <w:szCs w:val="24"/>
        </w:rPr>
        <w:t>Philip D. Murphy</w:t>
      </w:r>
    </w:p>
    <w:p w14:paraId="779D37F0" w14:textId="77777777" w:rsidR="009336E0" w:rsidRPr="00725599" w:rsidRDefault="009336E0" w:rsidP="009336E0">
      <w:pPr>
        <w:widowControl w:val="0"/>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autoSpaceDE w:val="0"/>
        <w:autoSpaceDN w:val="0"/>
        <w:spacing w:after="0" w:line="240" w:lineRule="exact"/>
        <w:ind w:right="0" w:firstLine="0"/>
        <w:contextualSpacing/>
        <w:rPr>
          <w:rFonts w:eastAsia="Calibri"/>
          <w:color w:val="auto"/>
          <w:szCs w:val="24"/>
        </w:rPr>
      </w:pPr>
    </w:p>
    <w:p w14:paraId="63CF092E" w14:textId="1AB9C4E1" w:rsidR="00725599" w:rsidRPr="00725599" w:rsidRDefault="00725599" w:rsidP="00294021">
      <w:pPr>
        <w:widowControl w:val="0"/>
        <w:tabs>
          <w:tab w:val="left" w:pos="570"/>
          <w:tab w:val="left" w:pos="1290"/>
          <w:tab w:val="left" w:pos="2010"/>
          <w:tab w:val="left" w:pos="2730"/>
          <w:tab w:val="left" w:pos="3450"/>
          <w:tab w:val="left" w:pos="4320"/>
          <w:tab w:val="left" w:pos="5040"/>
          <w:tab w:val="left" w:pos="5610"/>
          <w:tab w:val="left" w:pos="6330"/>
          <w:tab w:val="left" w:pos="7050"/>
          <w:tab w:val="left" w:pos="7770"/>
          <w:tab w:val="left" w:pos="8490"/>
        </w:tabs>
        <w:spacing w:after="0" w:line="240" w:lineRule="exact"/>
        <w:ind w:left="3600" w:right="0" w:hanging="3600"/>
        <w:contextualSpacing/>
        <w:rPr>
          <w:rFonts w:eastAsia="Calibri"/>
          <w:color w:val="auto"/>
          <w:szCs w:val="24"/>
        </w:rPr>
      </w:pPr>
      <w:r w:rsidRPr="00725599">
        <w:rPr>
          <w:rFonts w:eastAsia="Calibri"/>
          <w:color w:val="auto"/>
          <w:szCs w:val="24"/>
        </w:rPr>
        <w:tab/>
      </w:r>
      <w:r w:rsidRPr="00725599">
        <w:rPr>
          <w:rFonts w:eastAsia="Calibri"/>
          <w:color w:val="auto"/>
          <w:szCs w:val="24"/>
        </w:rPr>
        <w:tab/>
      </w:r>
      <w:r w:rsidRPr="00725599">
        <w:rPr>
          <w:rFonts w:eastAsia="Calibri"/>
          <w:color w:val="auto"/>
          <w:szCs w:val="24"/>
        </w:rPr>
        <w:tab/>
      </w:r>
      <w:r w:rsidRPr="00725599">
        <w:rPr>
          <w:rFonts w:eastAsia="Calibri"/>
          <w:color w:val="auto"/>
          <w:szCs w:val="24"/>
        </w:rPr>
        <w:tab/>
      </w:r>
      <w:r w:rsidRPr="00725599">
        <w:rPr>
          <w:rFonts w:eastAsia="Calibri"/>
          <w:color w:val="auto"/>
          <w:szCs w:val="24"/>
        </w:rPr>
        <w:tab/>
      </w:r>
      <w:r w:rsidRPr="00725599">
        <w:rPr>
          <w:rFonts w:eastAsia="Calibri"/>
          <w:color w:val="auto"/>
          <w:szCs w:val="24"/>
        </w:rPr>
        <w:tab/>
      </w:r>
      <w:r w:rsidR="007257DD" w:rsidRPr="001A4BCC">
        <w:rPr>
          <w:rFonts w:eastAsia="Calibri"/>
          <w:color w:val="auto"/>
          <w:szCs w:val="24"/>
        </w:rPr>
        <w:tab/>
      </w:r>
      <w:r w:rsidR="001A4BCC">
        <w:rPr>
          <w:rFonts w:eastAsia="Calibri"/>
          <w:color w:val="auto"/>
          <w:szCs w:val="24"/>
        </w:rPr>
        <w:tab/>
      </w:r>
      <w:r w:rsidRPr="00725599">
        <w:rPr>
          <w:rFonts w:eastAsia="Calibri"/>
          <w:color w:val="auto"/>
          <w:szCs w:val="24"/>
        </w:rPr>
        <w:t>Governor</w:t>
      </w:r>
    </w:p>
    <w:p w14:paraId="18A020C6" w14:textId="77777777" w:rsidR="00725599" w:rsidRPr="00725599" w:rsidRDefault="00725599" w:rsidP="001A4BCC">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hanging="5040"/>
        <w:contextualSpacing/>
        <w:rPr>
          <w:rFonts w:eastAsia="Calibri"/>
          <w:color w:val="auto"/>
          <w:szCs w:val="24"/>
        </w:rPr>
      </w:pPr>
    </w:p>
    <w:p w14:paraId="258D09B9" w14:textId="704D7C51" w:rsidR="00725599" w:rsidRDefault="00725599" w:rsidP="009D42CB">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p>
    <w:p w14:paraId="4EEE3D2D" w14:textId="24ADCB61" w:rsidR="009D42CB" w:rsidRDefault="009D42CB" w:rsidP="009D42CB">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p>
    <w:p w14:paraId="3A600E86" w14:textId="055BD81F" w:rsidR="009D42CB" w:rsidRPr="00725599" w:rsidRDefault="009D42CB" w:rsidP="009D42CB">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r>
        <w:rPr>
          <w:rFonts w:eastAsia="Calibri"/>
          <w:color w:val="auto"/>
          <w:szCs w:val="24"/>
        </w:rPr>
        <w:t>Attest:</w:t>
      </w:r>
    </w:p>
    <w:p w14:paraId="758A6AFB" w14:textId="77777777" w:rsidR="00725599" w:rsidRPr="00725599" w:rsidRDefault="00725599" w:rsidP="001A4BCC">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p>
    <w:p w14:paraId="5A370D41" w14:textId="70095FC2" w:rsidR="00725599" w:rsidRDefault="009336E0" w:rsidP="001A4BCC">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r>
        <w:rPr>
          <w:rFonts w:eastAsia="Calibri"/>
          <w:color w:val="auto"/>
          <w:szCs w:val="24"/>
        </w:rPr>
        <w:t xml:space="preserve">/s/ </w:t>
      </w:r>
      <w:r w:rsidR="00725599" w:rsidRPr="00725599">
        <w:rPr>
          <w:rFonts w:eastAsia="Calibri"/>
          <w:color w:val="auto"/>
          <w:szCs w:val="24"/>
        </w:rPr>
        <w:t xml:space="preserve">Matthew J. </w:t>
      </w:r>
      <w:proofErr w:type="spellStart"/>
      <w:r w:rsidR="00725599" w:rsidRPr="00725599">
        <w:rPr>
          <w:rFonts w:eastAsia="Calibri"/>
          <w:color w:val="auto"/>
          <w:szCs w:val="24"/>
        </w:rPr>
        <w:t>Platkin</w:t>
      </w:r>
      <w:proofErr w:type="spellEnd"/>
    </w:p>
    <w:p w14:paraId="32AB7D67" w14:textId="77777777" w:rsidR="009336E0" w:rsidRPr="00725599" w:rsidRDefault="009336E0" w:rsidP="001A4BCC">
      <w:pPr>
        <w:widowControl w:val="0"/>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after="0" w:line="240" w:lineRule="exact"/>
        <w:ind w:right="0" w:firstLine="0"/>
        <w:contextualSpacing/>
        <w:rPr>
          <w:rFonts w:eastAsia="Calibri"/>
          <w:color w:val="auto"/>
          <w:szCs w:val="24"/>
        </w:rPr>
      </w:pPr>
    </w:p>
    <w:p w14:paraId="23BF17B2" w14:textId="0D044A03" w:rsidR="00491D6F" w:rsidRPr="001A4BCC" w:rsidRDefault="00725599" w:rsidP="001A4BCC">
      <w:pPr>
        <w:ind w:firstLine="0"/>
        <w:rPr>
          <w:szCs w:val="24"/>
        </w:rPr>
      </w:pPr>
      <w:r w:rsidRPr="001A4BCC">
        <w:rPr>
          <w:rFonts w:eastAsia="Calibri"/>
          <w:color w:val="auto"/>
          <w:szCs w:val="24"/>
        </w:rPr>
        <w:t>Chief Counsel to the Governor</w:t>
      </w:r>
    </w:p>
    <w:sectPr w:rsidR="00491D6F" w:rsidRPr="001A4BCC" w:rsidSect="00112C21">
      <w:headerReference w:type="default" r:id="rId6"/>
      <w:pgSz w:w="12240" w:h="20160" w:code="5"/>
      <w:pgMar w:top="1440" w:right="1440" w:bottom="171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1538024D" w:rsidR="00112C21" w:rsidRDefault="00112C21" w:rsidP="00A5025E">
        <w:pPr>
          <w:pStyle w:val="Header"/>
          <w:jc w:val="center"/>
          <w:rPr>
            <w:noProof/>
          </w:rPr>
        </w:pPr>
        <w:r>
          <w:fldChar w:fldCharType="begin"/>
        </w:r>
        <w:r>
          <w:instrText xml:space="preserve"> PAGE   \* MERGEFORMAT </w:instrText>
        </w:r>
        <w:r>
          <w:fldChar w:fldCharType="separate"/>
        </w:r>
        <w:r w:rsidR="00353AE4">
          <w:rPr>
            <w:noProof/>
          </w:rPr>
          <w:t>3</w:t>
        </w:r>
        <w:r>
          <w:rPr>
            <w:noProof/>
          </w:rPr>
          <w:fldChar w:fldCharType="end"/>
        </w:r>
      </w:p>
      <w:p w14:paraId="0771E460" w14:textId="0A41EDE9" w:rsidR="00112C21" w:rsidRDefault="00353AE4">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3AE4"/>
    <w:rsid w:val="00357CD5"/>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5172"/>
    <w:rsid w:val="00A2695E"/>
    <w:rsid w:val="00A275B1"/>
    <w:rsid w:val="00A5025E"/>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3853</Characters>
  <Application>Microsoft Office Word</Application>
  <DocSecurity>0</DocSecurity>
  <Lines>130</Lines>
  <Paragraphs>24</Paragraphs>
  <ScaleCrop>false</ScaleCrop>
  <HeadingPairs>
    <vt:vector size="2" baseType="variant">
      <vt:variant>
        <vt:lpstr>Title</vt:lpstr>
      </vt:variant>
      <vt:variant>
        <vt:i4>1</vt:i4>
      </vt:variant>
    </vt:vector>
  </HeadingPairs>
  <TitlesOfParts>
    <vt:vector size="1" baseType="lpstr">
      <vt:lpstr>S2436 CV</vt:lpstr>
    </vt:vector>
  </TitlesOfParts>
  <Manager>R211</Manager>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 CV</dc:title>
  <dc:subject/>
  <dc:creator>McDonnell, Kate</dc:creator>
  <cp:keywords>S2436|3| ||0|0|!||</cp:keywords>
  <dc:description/>
  <cp:lastModifiedBy>Sommers, Shelly</cp:lastModifiedBy>
  <cp:revision>2</cp:revision>
  <cp:lastPrinted>2020-08-03T14:25:00Z</cp:lastPrinted>
  <dcterms:created xsi:type="dcterms:W3CDTF">2020-08-13T19:58:00Z</dcterms:created>
  <dcterms:modified xsi:type="dcterms:W3CDTF">2020-08-13T19:58:00Z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