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615" w:rsidRDefault="00E11615" w:rsidP="00E11615">
      <w:pPr>
        <w:pStyle w:val="bpuReprint"/>
      </w:pPr>
      <w:bookmarkStart w:id="0" w:name="bpuFrontPg"/>
      <w:bookmarkStart w:id="1" w:name="_GoBack"/>
      <w:bookmarkEnd w:id="0"/>
      <w:bookmarkEnd w:id="1"/>
      <w:r>
        <w:t>[First Reprint]</w:t>
      </w:r>
    </w:p>
    <w:p w:rsidR="00FC04DA" w:rsidRDefault="00FC04DA" w:rsidP="00FC04DA">
      <w:pPr>
        <w:pStyle w:val="bpuBill"/>
      </w:pPr>
      <w:r>
        <w:t xml:space="preserve">SENATE, No. 2485 </w:t>
      </w:r>
    </w:p>
    <w:p w:rsidR="00FC04DA" w:rsidRPr="009D38FF" w:rsidRDefault="00FC04DA" w:rsidP="00FC04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48729" r:id="rId7"/>
        </w:object>
      </w:r>
    </w:p>
    <w:p w:rsidR="00FC04DA" w:rsidRDefault="00FC04DA" w:rsidP="00FC04DA">
      <w:pPr>
        <w:pStyle w:val="bpuState"/>
      </w:pPr>
      <w:r>
        <w:t>STATE OF NEW JERSEY</w:t>
      </w:r>
    </w:p>
    <w:p w:rsidR="00FC04DA" w:rsidRDefault="00FC04DA" w:rsidP="00FC04DA">
      <w:pPr>
        <w:pStyle w:val="bpuLegislature"/>
      </w:pPr>
      <w:r>
        <w:t>219th LEGISLATURE</w:t>
      </w:r>
    </w:p>
    <w:p w:rsidR="00FC04DA" w:rsidRDefault="00FC04DA" w:rsidP="00FC04DA">
      <w:pPr>
        <w:pStyle w:val="bpuWpGraphic"/>
      </w:pPr>
      <w:r>
        <w:object w:dxaOrig="8985" w:dyaOrig="255">
          <v:shape id="_x0000_i1026" type="#_x0000_t75" style="width:6in;height:12pt" o:ole="">
            <v:imagedata r:id="rId6" o:title=""/>
          </v:shape>
          <o:OLEObject Type="Embed" ProgID="WPWin6.1" ShapeID="_x0000_i1026" DrawAspect="Content" ObjectID="_1653748730" r:id="rId8"/>
        </w:object>
      </w:r>
      <w:r>
        <w:t xml:space="preserve">  </w:t>
      </w:r>
    </w:p>
    <w:p w:rsidR="00FC04DA" w:rsidRDefault="00FC04DA" w:rsidP="00FC04DA">
      <w:pPr>
        <w:pStyle w:val="bpuIntro"/>
      </w:pPr>
      <w:r>
        <w:t>INTRODUCED MAY 14, 2020</w:t>
      </w:r>
    </w:p>
    <w:p w:rsidR="00FC04DA" w:rsidRDefault="00FC04DA" w:rsidP="00FC04DA">
      <w:pPr>
        <w:pStyle w:val="bpuIntro"/>
      </w:pPr>
    </w:p>
    <w:p w:rsidR="00FC04DA" w:rsidRDefault="00FC04DA" w:rsidP="00FC04DA">
      <w:pPr>
        <w:pStyle w:val="bpuIntro"/>
        <w:sectPr w:rsidR="00FC04DA" w:rsidSect="009C5B5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C04DA" w:rsidRDefault="00FC04DA" w:rsidP="00FC04DA">
      <w:pPr>
        <w:pStyle w:val="bpuIntro"/>
      </w:pPr>
    </w:p>
    <w:p w:rsidR="00FC04DA" w:rsidRDefault="00FC04DA" w:rsidP="00FC04DA">
      <w:pPr>
        <w:pStyle w:val="bpuSponsor"/>
      </w:pPr>
      <w:r>
        <w:t>Sponsored by:</w:t>
      </w:r>
    </w:p>
    <w:p w:rsidR="00FC04DA" w:rsidRDefault="00FC04DA" w:rsidP="00FC04DA">
      <w:pPr>
        <w:pStyle w:val="bpuSponsor"/>
      </w:pPr>
      <w:r>
        <w:t>Senator  BRIAN P. STACK</w:t>
      </w:r>
    </w:p>
    <w:p w:rsidR="00FC04DA" w:rsidRDefault="00FC04DA" w:rsidP="00FC04DA">
      <w:pPr>
        <w:pStyle w:val="bpuSponsor"/>
      </w:pPr>
      <w:r>
        <w:t>District 33 (Hudson)</w:t>
      </w:r>
    </w:p>
    <w:p w:rsidR="00FC04DA" w:rsidRDefault="00FC04DA" w:rsidP="00FC04DA">
      <w:pPr>
        <w:pStyle w:val="bpuSponsor"/>
      </w:pPr>
    </w:p>
    <w:p w:rsidR="00FC04DA" w:rsidRDefault="00FB0297" w:rsidP="00FB0297">
      <w:pPr>
        <w:pStyle w:val="bpuSponsor"/>
      </w:pPr>
      <w:r>
        <w:t>Co-Sponsored by:</w:t>
      </w:r>
    </w:p>
    <w:p w:rsidR="00FB0297" w:rsidRDefault="00FB0297" w:rsidP="00FB0297">
      <w:pPr>
        <w:pStyle w:val="bpuSponsor"/>
      </w:pPr>
      <w:r w:rsidRPr="00FB0297">
        <w:t>Senator Ruiz</w:t>
      </w:r>
    </w:p>
    <w:p w:rsidR="00FB0297" w:rsidRDefault="00FB0297" w:rsidP="00FB0297"/>
    <w:p w:rsidR="00FB0297" w:rsidRPr="00FB0297" w:rsidRDefault="00FB0297" w:rsidP="00FB0297"/>
    <w:p w:rsidR="00FC04DA" w:rsidRDefault="00FC04DA" w:rsidP="00FC04DA">
      <w:pPr>
        <w:pStyle w:val="bpuSponsor"/>
      </w:pPr>
    </w:p>
    <w:p w:rsidR="00FC04DA" w:rsidRDefault="00FC04DA" w:rsidP="00FC04DA">
      <w:pPr>
        <w:pStyle w:val="bpuSponsor"/>
      </w:pPr>
    </w:p>
    <w:p w:rsidR="00FC04DA" w:rsidRDefault="00FC04DA" w:rsidP="00FC04DA">
      <w:pPr>
        <w:pStyle w:val="bpuSponsor"/>
      </w:pPr>
      <w:r>
        <w:t>SYNOPSIS</w:t>
      </w:r>
    </w:p>
    <w:p w:rsidR="00E04C8F" w:rsidRPr="00AD57A0" w:rsidRDefault="00E04C8F" w:rsidP="00E04C8F">
      <w:r>
        <w:tab/>
        <w:t>P</w:t>
      </w:r>
      <w:r w:rsidRPr="00AD57A0">
        <w:t>rohibit</w:t>
      </w:r>
      <w:r>
        <w:t>s</w:t>
      </w:r>
      <w:r w:rsidRPr="00AD57A0">
        <w:t xml:space="preserve"> eviction as remedy for nonpayment of rent due during time surrounding COVID-19 pandemic</w:t>
      </w:r>
      <w:r>
        <w:t xml:space="preserve"> in certain circumstances</w:t>
      </w:r>
      <w:r w:rsidRPr="00AD57A0">
        <w:t>.</w:t>
      </w:r>
    </w:p>
    <w:p w:rsidR="00FC04DA" w:rsidRDefault="00FC04DA" w:rsidP="00FC04DA">
      <w:pPr>
        <w:pStyle w:val="bpuNormText"/>
      </w:pPr>
    </w:p>
    <w:p w:rsidR="00FC04DA" w:rsidRDefault="00FC04DA" w:rsidP="00FC04DA">
      <w:pPr>
        <w:pStyle w:val="bpuSponsor"/>
      </w:pPr>
      <w:r>
        <w:t xml:space="preserve">CURRENT VERSION OF TEXT </w:t>
      </w:r>
    </w:p>
    <w:p w:rsidR="00FC04DA" w:rsidRDefault="00E11615" w:rsidP="00FC04DA">
      <w:pPr>
        <w:pStyle w:val="bpuNormText"/>
      </w:pPr>
      <w:r>
        <w:tab/>
        <w:t>As re</w:t>
      </w:r>
      <w:r w:rsidR="00C25BFF">
        <w:t>ported by the Senate Community and Urban Affairs Committee</w:t>
      </w:r>
      <w:r>
        <w:t xml:space="preserve"> on June 11, 2020, with amendments.</w:t>
      </w:r>
    </w:p>
    <w:p w:rsidR="00FC04DA" w:rsidRDefault="00FC04DA" w:rsidP="00FC04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C04DA" w:rsidRDefault="00FC04DA" w:rsidP="008916EC">
      <w:pPr>
        <w:pStyle w:val="FronterPage"/>
        <w:tabs>
          <w:tab w:val="clear" w:pos="720"/>
          <w:tab w:val="clear" w:pos="1440"/>
          <w:tab w:val="clear" w:pos="2160"/>
          <w:tab w:val="clear" w:pos="2880"/>
          <w:tab w:val="clear" w:pos="3600"/>
          <w:tab w:val="clear" w:pos="4320"/>
          <w:tab w:val="clear" w:pos="5040"/>
        </w:tabs>
        <w:sectPr w:rsidR="00FC04DA" w:rsidSect="00FC04DA">
          <w:type w:val="continuous"/>
          <w:pgSz w:w="12240" w:h="20160" w:code="5"/>
          <w:pgMar w:top="1440" w:right="2275" w:bottom="1440" w:left="2275" w:header="72" w:footer="720" w:gutter="0"/>
          <w:pgNumType w:start="1"/>
          <w:cols w:space="720"/>
          <w:docGrid w:linePitch="360"/>
        </w:sectPr>
      </w:pPr>
    </w:p>
    <w:p w:rsidR="00E11615" w:rsidRPr="00447E4D" w:rsidRDefault="00E11615" w:rsidP="00E11615">
      <w:pPr>
        <w:ind w:left="360" w:hanging="360"/>
      </w:pPr>
      <w:r>
        <w:rPr>
          <w:rStyle w:val="BillHead"/>
        </w:rPr>
        <w:lastRenderedPageBreak/>
        <w:t>An Act</w:t>
      </w:r>
      <w:r w:rsidRPr="006B7FA7">
        <w:rPr>
          <w:rStyle w:val="HangingAnActChar"/>
        </w:rPr>
        <w:t xml:space="preserve"> </w:t>
      </w:r>
      <w:r>
        <w:rPr>
          <w:rStyle w:val="HangingAnActChar"/>
          <w:rFonts w:ascii="Albertus Extra Bold" w:hAnsi="Albertus Extra Bold"/>
          <w:b/>
          <w:vertAlign w:val="superscript"/>
        </w:rPr>
        <w:t>1</w:t>
      </w:r>
      <w:r w:rsidRPr="00447E4D">
        <w:rPr>
          <w:rStyle w:val="HangingAnActChar"/>
          <w:rFonts w:ascii="Albertus Extra Bold" w:hAnsi="Albertus Extra Bold"/>
          <w:b/>
        </w:rPr>
        <w:t>[</w:t>
      </w:r>
      <w:r>
        <w:t>enhancing municipal authority to restrict</w:t>
      </w:r>
      <w:r w:rsidRPr="00AD57A0">
        <w:rPr>
          <w:rFonts w:ascii="Albertus Extra Bold" w:hAnsi="Albertus Extra Bold"/>
          <w:b/>
        </w:rPr>
        <w:t>]</w:t>
      </w:r>
      <w:r>
        <w:t xml:space="preserve"> </w:t>
      </w:r>
      <w:r>
        <w:rPr>
          <w:u w:val="single"/>
        </w:rPr>
        <w:t>concerning</w:t>
      </w:r>
      <w:r>
        <w:rPr>
          <w:rFonts w:ascii="Albertus Extra Bold" w:hAnsi="Albertus Extra Bold"/>
          <w:b/>
          <w:vertAlign w:val="superscript"/>
        </w:rPr>
        <w:t>1</w:t>
      </w:r>
      <w:r>
        <w:t xml:space="preserve"> eviction during time surrounding COVID-19 pandemic.</w:t>
      </w:r>
    </w:p>
    <w:p w:rsidR="000B1054" w:rsidRPr="00D71D68" w:rsidRDefault="000B1054" w:rsidP="000B1054"/>
    <w:p w:rsidR="00686AEB" w:rsidRPr="00AA7880" w:rsidRDefault="00686AEB" w:rsidP="00686AEB">
      <w:r>
        <w:tab/>
      </w:r>
      <w:r w:rsidR="003A408A">
        <w:rPr>
          <w:rStyle w:val="BillHeading2"/>
        </w:rPr>
        <w:t>Be It Enacted</w:t>
      </w:r>
      <w:r>
        <w:rPr>
          <w:rStyle w:val="BillHeading2"/>
        </w:rPr>
        <w:t xml:space="preserve"> </w:t>
      </w:r>
      <w:r w:rsidR="003A408A">
        <w:rPr>
          <w:rStyle w:val="BillLanguage"/>
        </w:rPr>
        <w:t>by the Senate and General Assembly of the State of New Jersey:</w:t>
      </w:r>
    </w:p>
    <w:p w:rsidR="00E11615" w:rsidRDefault="00E11615" w:rsidP="00E11615"/>
    <w:p w:rsidR="00E11615" w:rsidRDefault="00E11615" w:rsidP="00E11615">
      <w:r>
        <w:tab/>
        <w:t>1.</w:t>
      </w:r>
      <w:r>
        <w:tab/>
        <w:t xml:space="preserve">The Legislature finds and declares that:  </w:t>
      </w:r>
    </w:p>
    <w:p w:rsidR="00E11615" w:rsidRDefault="00E11615" w:rsidP="00E11615">
      <w:r>
        <w:tab/>
        <w:t>a.</w:t>
      </w:r>
      <w:r>
        <w:tab/>
        <w:t>The halt in economic activity that has been necessary to combat the COVID-19 pandemic has forced many New Jersey residents to endure job losses and prolonged depletions of income;</w:t>
      </w:r>
    </w:p>
    <w:p w:rsidR="00E11615" w:rsidRDefault="00E11615" w:rsidP="00E11615">
      <w:r>
        <w:tab/>
        <w:t>b.</w:t>
      </w:r>
      <w:r>
        <w:tab/>
        <w:t>As of May 8, 2020, the unemployment rate of the United States exceeds 14 percent, and is widely expected to grow higher in the coming weeks;</w:t>
      </w:r>
    </w:p>
    <w:p w:rsidR="00E11615" w:rsidRDefault="00E11615" w:rsidP="00E11615">
      <w:r>
        <w:tab/>
        <w:t>c.</w:t>
      </w:r>
      <w:r>
        <w:tab/>
        <w:t>The residents of New Jersey have not been able to avoid suffering as a result of the COVID-19 pandemic, as the State is widely reported to have the second highest COVID-19-related death rate in the nation, and the economic impact on many State residents appears to be similarly catastrophic;</w:t>
      </w:r>
    </w:p>
    <w:p w:rsidR="00E11615" w:rsidRDefault="00E11615" w:rsidP="00E11615">
      <w:r>
        <w:tab/>
        <w:t>d.</w:t>
      </w:r>
      <w:r>
        <w:tab/>
        <w:t xml:space="preserve">This unprecedented situation has made the timely payment of rent impossible for many State residents and businesses </w:t>
      </w:r>
      <w:r>
        <w:rPr>
          <w:rFonts w:ascii="Albertus Extra Bold" w:hAnsi="Albertus Extra Bold"/>
          <w:b/>
          <w:vertAlign w:val="superscript"/>
        </w:rPr>
        <w:t>1</w:t>
      </w:r>
      <w:r w:rsidRPr="0096433B">
        <w:rPr>
          <w:rFonts w:ascii="Albertus Extra Bold" w:hAnsi="Albertus Extra Bold"/>
          <w:b/>
        </w:rPr>
        <w:t>[</w:t>
      </w:r>
      <w:r>
        <w:t>; and</w:t>
      </w:r>
    </w:p>
    <w:p w:rsidR="00E11615" w:rsidRDefault="00E11615" w:rsidP="00E11615">
      <w:r>
        <w:tab/>
        <w:t>e.</w:t>
      </w:r>
      <w:r>
        <w:tab/>
        <w:t>It is, therefore, necessary and in the public interest for the Legislature to authorize municipalities to prohibit eviction as a remedy for the recovery of unpaid rent due during and immediately following the months of the State of Emergency and Public Health Emergency issued in response to the COVID-19 pandemic</w:t>
      </w:r>
      <w:r w:rsidRPr="0096433B">
        <w:rPr>
          <w:rFonts w:ascii="Albertus Extra Bold" w:hAnsi="Albertus Extra Bold"/>
          <w:b/>
        </w:rPr>
        <w:t>]</w:t>
      </w:r>
      <w:r>
        <w:rPr>
          <w:rFonts w:ascii="Albertus Extra Bold" w:hAnsi="Albertus Extra Bold"/>
          <w:b/>
          <w:vertAlign w:val="superscript"/>
        </w:rPr>
        <w:t>1</w:t>
      </w:r>
      <w:r>
        <w:t>.</w:t>
      </w:r>
    </w:p>
    <w:p w:rsidR="00E11615" w:rsidRPr="00F429E4" w:rsidRDefault="00E11615" w:rsidP="00E11615"/>
    <w:p w:rsidR="00E11615" w:rsidRDefault="00E11615" w:rsidP="00E11615">
      <w:pPr>
        <w:tabs>
          <w:tab w:val="clear" w:pos="1440"/>
          <w:tab w:val="left" w:pos="1080"/>
        </w:tabs>
      </w:pPr>
      <w:r>
        <w:tab/>
        <w:t>2.</w:t>
      </w:r>
      <w:r>
        <w:tab/>
        <w:t>a.</w:t>
      </w:r>
      <w:r>
        <w:tab/>
        <w:t>Notwithstanding subsection b. of section 1 of P.L.2020, c.1, (C.</w:t>
      </w:r>
      <w:r w:rsidRPr="0016199D">
        <w:t>2A:18-59.3</w:t>
      </w:r>
      <w:r>
        <w:t xml:space="preserve">), or any other law to the contrary, </w:t>
      </w:r>
      <w:r>
        <w:rPr>
          <w:rFonts w:ascii="Albertus Extra Bold" w:hAnsi="Albertus Extra Bold"/>
          <w:b/>
          <w:vertAlign w:val="superscript"/>
        </w:rPr>
        <w:t>1</w:t>
      </w:r>
      <w:r w:rsidRPr="004658E3">
        <w:rPr>
          <w:rFonts w:ascii="Albertus Extra Bold" w:hAnsi="Albertus Extra Bold"/>
          <w:b/>
        </w:rPr>
        <w:t>[</w:t>
      </w:r>
      <w:r>
        <w:t>a municipality may, by ordinance of the governing body adopted prior to the conclusion of the covered period, prohibit eviction for nonpayment or habitually late payment of rent by a residential or nonresidential tenant, or both</w:t>
      </w:r>
      <w:r w:rsidRPr="004658E3">
        <w:rPr>
          <w:rFonts w:ascii="Albertus Extra Bold" w:hAnsi="Albertus Extra Bold"/>
          <w:b/>
        </w:rPr>
        <w:t>]</w:t>
      </w:r>
      <w:r>
        <w:t xml:space="preserve"> </w:t>
      </w:r>
      <w:r>
        <w:rPr>
          <w:u w:val="single"/>
        </w:rPr>
        <w:t>a</w:t>
      </w:r>
      <w:r w:rsidRPr="004658E3">
        <w:rPr>
          <w:u w:val="single"/>
        </w:rPr>
        <w:t xml:space="preserve"> residential or commercial tenant shall </w:t>
      </w:r>
      <w:r>
        <w:rPr>
          <w:u w:val="single"/>
        </w:rPr>
        <w:t xml:space="preserve">not </w:t>
      </w:r>
      <w:r w:rsidRPr="004658E3">
        <w:rPr>
          <w:u w:val="single"/>
        </w:rPr>
        <w:t>be evicted due solely to nonpayment of rent during the covered period, unless the court find</w:t>
      </w:r>
      <w:r>
        <w:rPr>
          <w:u w:val="single"/>
        </w:rPr>
        <w:t>s</w:t>
      </w:r>
      <w:r w:rsidRPr="009A0D5D">
        <w:rPr>
          <w:u w:val="single"/>
        </w:rPr>
        <w:t>, by clear and convincing evidence</w:t>
      </w:r>
      <w:r>
        <w:rPr>
          <w:u w:val="single"/>
        </w:rPr>
        <w:t>,</w:t>
      </w:r>
      <w:r w:rsidRPr="004658E3">
        <w:rPr>
          <w:u w:val="single"/>
        </w:rPr>
        <w:t xml:space="preserve"> that the tenant had the ability to pay and failed to pay</w:t>
      </w:r>
      <w:r>
        <w:rPr>
          <w:rFonts w:ascii="Albertus Extra Bold" w:hAnsi="Albertus Extra Bold"/>
          <w:b/>
          <w:vertAlign w:val="superscript"/>
        </w:rPr>
        <w:t>1</w:t>
      </w:r>
      <w:r>
        <w:t>.</w:t>
      </w:r>
    </w:p>
    <w:p w:rsidR="00E11615" w:rsidRDefault="00E11615" w:rsidP="00E11615">
      <w:r>
        <w:tab/>
        <w:t>b.</w:t>
      </w:r>
      <w:r>
        <w:tab/>
      </w:r>
      <w:r>
        <w:rPr>
          <w:rFonts w:ascii="Albertus Extra Bold" w:hAnsi="Albertus Extra Bold"/>
          <w:b/>
          <w:vertAlign w:val="superscript"/>
        </w:rPr>
        <w:t>1</w:t>
      </w:r>
      <w:r w:rsidRPr="00447E4D">
        <w:rPr>
          <w:rFonts w:ascii="Albertus Extra Bold" w:hAnsi="Albertus Extra Bold"/>
          <w:b/>
        </w:rPr>
        <w:t>[</w:t>
      </w:r>
      <w:r>
        <w:t>An emergency anti-eviction ordinance shall apply only to rent payments due during the covered period.  Despite the adoption of an emergency anti-eviction ordinance, a landlord shall be entitled to recovery of the unpaid rent by filing an action in Superior Court for the recovery of the unpaid rent as a monetary judgment with applicable interest</w:t>
      </w:r>
      <w:r w:rsidRPr="00447E4D">
        <w:rPr>
          <w:rFonts w:ascii="Albertus Extra Bold" w:hAnsi="Albertus Extra Bold"/>
          <w:b/>
        </w:rPr>
        <w:t>]</w:t>
      </w:r>
      <w:r>
        <w:t xml:space="preserve">  </w:t>
      </w:r>
      <w:r w:rsidRPr="00447E4D">
        <w:rPr>
          <w:u w:val="single"/>
        </w:rPr>
        <w:t xml:space="preserve">For </w:t>
      </w:r>
      <w:r>
        <w:rPr>
          <w:u w:val="single"/>
        </w:rPr>
        <w:t>a landlord-tenant case</w:t>
      </w:r>
      <w:r w:rsidRPr="00447E4D">
        <w:rPr>
          <w:u w:val="single"/>
        </w:rPr>
        <w:t xml:space="preserve"> seeking a judgment for poss</w:t>
      </w:r>
      <w:r>
        <w:rPr>
          <w:u w:val="single"/>
        </w:rPr>
        <w:t>ession on the sole basis of non</w:t>
      </w:r>
      <w:r w:rsidRPr="00447E4D">
        <w:rPr>
          <w:u w:val="single"/>
        </w:rPr>
        <w:t>payment of rent during the covered period, all rent due but not paid shall be amortized over the length of the rental agreement period o</w:t>
      </w:r>
      <w:r>
        <w:rPr>
          <w:u w:val="single"/>
        </w:rPr>
        <w:t xml:space="preserve">r six months, whichever is </w:t>
      </w:r>
      <w:r>
        <w:rPr>
          <w:u w:val="single"/>
        </w:rPr>
        <w:lastRenderedPageBreak/>
        <w:t>greater</w:t>
      </w:r>
      <w:r w:rsidRPr="00447E4D">
        <w:rPr>
          <w:u w:val="single"/>
        </w:rPr>
        <w:t>,</w:t>
      </w:r>
      <w:r>
        <w:rPr>
          <w:u w:val="single"/>
        </w:rPr>
        <w:t xml:space="preserve"> upon the tenant’s consent.  If the amortized rent due is not timely paid or</w:t>
      </w:r>
      <w:r w:rsidRPr="00447E4D">
        <w:rPr>
          <w:u w:val="single"/>
        </w:rPr>
        <w:t xml:space="preserve"> is not paid</w:t>
      </w:r>
      <w:r>
        <w:rPr>
          <w:u w:val="single"/>
        </w:rPr>
        <w:t xml:space="preserve"> in full by the end of </w:t>
      </w:r>
      <w:r w:rsidRPr="00447E4D">
        <w:rPr>
          <w:u w:val="single"/>
        </w:rPr>
        <w:t>th</w:t>
      </w:r>
      <w:r>
        <w:rPr>
          <w:u w:val="single"/>
        </w:rPr>
        <w:t>e rental agreement or six-month period, whichever is later, the landlord may</w:t>
      </w:r>
      <w:r w:rsidRPr="00447E4D">
        <w:rPr>
          <w:u w:val="single"/>
        </w:rPr>
        <w:t xml:space="preserve"> request issuance of a warrant of removal upon the filing of a certification of breach with the court in accordance with the court rules</w:t>
      </w:r>
      <w:r>
        <w:rPr>
          <w:rFonts w:ascii="Albertus Extra Bold" w:hAnsi="Albertus Extra Bold"/>
          <w:b/>
          <w:vertAlign w:val="superscript"/>
        </w:rPr>
        <w:t>1</w:t>
      </w:r>
      <w:r>
        <w:t>.</w:t>
      </w:r>
    </w:p>
    <w:p w:rsidR="00E11615" w:rsidRDefault="00E11615" w:rsidP="00E11615">
      <w:r>
        <w:tab/>
        <w:t>c.</w:t>
      </w:r>
      <w:r>
        <w:tab/>
      </w:r>
      <w:r>
        <w:rPr>
          <w:rFonts w:ascii="Albertus Extra Bold" w:hAnsi="Albertus Extra Bold"/>
          <w:b/>
          <w:vertAlign w:val="superscript"/>
        </w:rPr>
        <w:t>1</w:t>
      </w:r>
      <w:r w:rsidRPr="00447E4D">
        <w:rPr>
          <w:rFonts w:ascii="Albertus Extra Bold" w:hAnsi="Albertus Extra Bold"/>
          <w:b/>
        </w:rPr>
        <w:t>[</w:t>
      </w:r>
      <w:r>
        <w:t xml:space="preserve">Following the adoption of an emergency anti-eviction ordinance, a municipality shall promptly notify the Clerk of the Superior Court, and provide the Clerk with a copy of the ordinance.  Following notification, if a court determines that a judgment of possession, warrant of removal, or writ of possession has been issued prior to adoption of the emergency anti-eviction ordinance for the nonpayment or habitually late payment of rent that was due exclusively during the covered period, the court may render that ruling null and void, and direct the court officers and their agents to refrain from removing individuals subject to the ruling.  </w:t>
      </w:r>
    </w:p>
    <w:p w:rsidR="00E11615" w:rsidRDefault="00E11615" w:rsidP="0007091E">
      <w:pPr>
        <w:tabs>
          <w:tab w:val="clear" w:pos="720"/>
          <w:tab w:val="left" w:pos="900"/>
        </w:tabs>
      </w:pPr>
      <w:r>
        <w:tab/>
        <w:t>d.</w:t>
      </w:r>
      <w:r w:rsidRPr="00447E4D">
        <w:rPr>
          <w:rFonts w:ascii="Albertus Extra Bold" w:hAnsi="Albertus Extra Bold"/>
          <w:b/>
        </w:rPr>
        <w:t>]</w:t>
      </w:r>
      <w:r>
        <w:rPr>
          <w:rFonts w:ascii="Albertus Extra Bold" w:hAnsi="Albertus Extra Bold"/>
          <w:b/>
          <w:vertAlign w:val="superscript"/>
        </w:rPr>
        <w:t>1</w:t>
      </w:r>
      <w:r w:rsidR="0007091E">
        <w:tab/>
      </w:r>
      <w:r>
        <w:t>As used in this act:</w:t>
      </w:r>
    </w:p>
    <w:p w:rsidR="00E11615" w:rsidRDefault="00E11615" w:rsidP="00E11615">
      <w:r>
        <w:tab/>
        <w:t xml:space="preserve">“Covered period” means the </w:t>
      </w:r>
      <w:r w:rsidRPr="00FF61F9">
        <w:t>period during which the Public Health Emergency and State of Emergency declared by the Governor in Executive Order 103, March 9, 2020</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FF61F9">
        <w:t xml:space="preserve"> are in effect and concluding </w:t>
      </w:r>
      <w:r>
        <w:rPr>
          <w:rFonts w:ascii="Albertus Extra Bold" w:hAnsi="Albertus Extra Bold"/>
          <w:b/>
          <w:vertAlign w:val="superscript"/>
        </w:rPr>
        <w:t>1</w:t>
      </w:r>
      <w:r w:rsidRPr="00485026">
        <w:rPr>
          <w:rFonts w:ascii="Albertus Extra Bold" w:hAnsi="Albertus Extra Bold"/>
          <w:b/>
        </w:rPr>
        <w:t>[</w:t>
      </w:r>
      <w:r>
        <w:t>on the first day of the third month next</w:t>
      </w:r>
      <w:r w:rsidRPr="00485026">
        <w:rPr>
          <w:rFonts w:ascii="Albertus Extra Bold" w:hAnsi="Albertus Extra Bold"/>
          <w:b/>
        </w:rPr>
        <w:t>]</w:t>
      </w:r>
      <w:r>
        <w:t xml:space="preserve"> </w:t>
      </w:r>
      <w:r>
        <w:rPr>
          <w:u w:val="single"/>
        </w:rPr>
        <w:t>two months</w:t>
      </w:r>
      <w:r>
        <w:rPr>
          <w:rFonts w:ascii="Albertus Extra Bold" w:hAnsi="Albertus Extra Bold"/>
          <w:b/>
          <w:vertAlign w:val="superscript"/>
        </w:rPr>
        <w:t>1</w:t>
      </w:r>
      <w:r w:rsidRPr="00FF61F9">
        <w:t xml:space="preserve"> following the conclusion of the State of Emergency or Public Health Emergency, whichever is </w:t>
      </w:r>
      <w:r>
        <w:t>later.</w:t>
      </w:r>
    </w:p>
    <w:p w:rsidR="00E11615" w:rsidRDefault="00E11615" w:rsidP="00E11615">
      <w:r>
        <w:tab/>
      </w:r>
      <w:r>
        <w:rPr>
          <w:rFonts w:ascii="Albertus Extra Bold" w:hAnsi="Albertus Extra Bold"/>
          <w:b/>
          <w:vertAlign w:val="superscript"/>
        </w:rPr>
        <w:t>1</w:t>
      </w:r>
      <w:r w:rsidRPr="00F87BA4">
        <w:rPr>
          <w:rFonts w:ascii="Albertus Extra Bold" w:hAnsi="Albertus Extra Bold"/>
          <w:b/>
        </w:rPr>
        <w:t>[</w:t>
      </w:r>
      <w:r>
        <w:t>“Emergency anti-eviction ordinance” means an ordinance adopted pursuant to subsection a. of this section.</w:t>
      </w:r>
      <w:r w:rsidRPr="00F87BA4">
        <w:rPr>
          <w:rFonts w:ascii="Albertus Extra Bold" w:hAnsi="Albertus Extra Bold"/>
          <w:b/>
        </w:rPr>
        <w:t>]</w:t>
      </w:r>
      <w:r>
        <w:rPr>
          <w:rFonts w:ascii="Albertus Extra Bold" w:hAnsi="Albertus Extra Bold"/>
          <w:b/>
          <w:vertAlign w:val="superscript"/>
        </w:rPr>
        <w:t>1</w:t>
      </w:r>
    </w:p>
    <w:p w:rsidR="00E11615" w:rsidRPr="00F429E4" w:rsidRDefault="00E11615" w:rsidP="00E11615"/>
    <w:p w:rsidR="00E11615" w:rsidRDefault="00E11615" w:rsidP="00E11615">
      <w:r>
        <w:tab/>
        <w:t>3.</w:t>
      </w:r>
      <w:r>
        <w:tab/>
        <w:t xml:space="preserve">This act shall take effect immediately and shall apply retroactively to rent payments missed </w:t>
      </w:r>
      <w:r>
        <w:rPr>
          <w:rFonts w:ascii="Albertus Extra Bold" w:hAnsi="Albertus Extra Bold"/>
          <w:b/>
          <w:vertAlign w:val="superscript"/>
        </w:rPr>
        <w:t>1</w:t>
      </w:r>
      <w:r w:rsidRPr="00447E4D">
        <w:rPr>
          <w:rFonts w:ascii="Albertus Extra Bold" w:hAnsi="Albertus Extra Bold"/>
          <w:b/>
        </w:rPr>
        <w:t>[</w:t>
      </w:r>
      <w:r>
        <w:t>subsequent to</w:t>
      </w:r>
      <w:r w:rsidRPr="00447E4D">
        <w:rPr>
          <w:rFonts w:ascii="Albertus Extra Bold" w:hAnsi="Albertus Extra Bold"/>
          <w:b/>
        </w:rPr>
        <w:t>]</w:t>
      </w:r>
      <w:r>
        <w:t xml:space="preserve"> </w:t>
      </w:r>
      <w:r>
        <w:rPr>
          <w:u w:val="single"/>
        </w:rPr>
        <w:t>on and after</w:t>
      </w:r>
      <w:r>
        <w:rPr>
          <w:rFonts w:ascii="Albertus Extra Bold" w:hAnsi="Albertus Extra Bold"/>
          <w:b/>
          <w:vertAlign w:val="superscript"/>
        </w:rPr>
        <w:t>1</w:t>
      </w:r>
      <w:r>
        <w:t xml:space="preserve"> March 9, 2020.</w:t>
      </w:r>
    </w:p>
    <w:sectPr w:rsidR="00E11615" w:rsidSect="00FC04D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6AF" w:rsidRDefault="008236AF">
      <w:r>
        <w:separator/>
      </w:r>
    </w:p>
  </w:endnote>
  <w:endnote w:type="continuationSeparator" w:id="0">
    <w:p w:rsidR="008236AF" w:rsidRDefault="00823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F8E" w:rsidRDefault="009C5B52" w:rsidP="009C5B52">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91E" w:rsidRDefault="0007091E">
    <w:pPr>
      <w:pStyle w:val="Footer"/>
      <w:rPr>
        <w:szCs w:val="18"/>
      </w:rPr>
    </w:pPr>
  </w:p>
  <w:p w:rsidR="00E11615" w:rsidRPr="00921C91" w:rsidRDefault="00E116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1615" w:rsidRPr="00921C91" w:rsidRDefault="00E11615">
    <w:pPr>
      <w:pStyle w:val="Footer"/>
      <w:rPr>
        <w:szCs w:val="18"/>
      </w:rPr>
    </w:pPr>
  </w:p>
  <w:p w:rsidR="00E11615" w:rsidRPr="00921C91" w:rsidRDefault="00E116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1615" w:rsidRDefault="00E11615" w:rsidP="00686AEB">
    <w:pPr>
      <w:pStyle w:val="Footer"/>
    </w:pPr>
    <w:r>
      <w:tab/>
      <w:t>Matter enclosed in superscript numerals has been adopted as follows:</w:t>
    </w:r>
  </w:p>
  <w:p w:rsidR="00E11615" w:rsidRDefault="00E11615" w:rsidP="00686AEB">
    <w:pPr>
      <w:pStyle w:val="Footer"/>
      <w:rPr>
        <w:rFonts w:ascii="AlbertusExtraBold" w:hAnsi="AlbertusExtraBold"/>
      </w:rPr>
    </w:pPr>
    <w:r>
      <w:tab/>
    </w:r>
    <w:r>
      <w:rPr>
        <w:rFonts w:ascii="AlbertusExtraBold" w:hAnsi="AlbertusExtraBold"/>
        <w:vertAlign w:val="superscript"/>
      </w:rPr>
      <w:t>1</w:t>
    </w:r>
    <w:r w:rsidR="00606F8E">
      <w:rPr>
        <w:rFonts w:ascii="AlbertusExtraBold" w:hAnsi="AlbertusExtraBold"/>
      </w:rPr>
      <w:t>Senate SCU</w:t>
    </w:r>
    <w:r>
      <w:rPr>
        <w:rFonts w:ascii="AlbertusExtraBold" w:hAnsi="AlbertusExtraBold"/>
      </w:rPr>
      <w:t xml:space="preserve"> committee amendments adopted June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6AF" w:rsidRDefault="008236AF">
      <w:r>
        <w:separator/>
      </w:r>
    </w:p>
  </w:footnote>
  <w:footnote w:type="continuationSeparator" w:id="0">
    <w:p w:rsidR="008236AF" w:rsidRDefault="00823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49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04DA" w:rsidRDefault="00FC04DA" w:rsidP="00FC04DA">
    <w:pPr>
      <w:pStyle w:val="bpuHeadSpon"/>
    </w:pPr>
    <w:r w:rsidRPr="00FC04DA">
      <w:rPr>
        <w:rStyle w:val="bpuHeadSponChar"/>
      </w:rPr>
      <w:t>S2485</w:t>
    </w:r>
    <w:r>
      <w:t xml:space="preserve"> </w:t>
    </w:r>
    <w:r w:rsidR="00E11615">
      <w:t xml:space="preserve">[1R] </w:t>
    </w:r>
    <w:r>
      <w:t>STACK</w:t>
    </w:r>
  </w:p>
  <w:p w:rsidR="00FC04DA" w:rsidRDefault="00FC04DA" w:rsidP="00FC04DA">
    <w:pPr>
      <w:pStyle w:val="bpuHeadSpon"/>
    </w:pPr>
    <w:r>
      <w:fldChar w:fldCharType="begin"/>
    </w:r>
    <w:r>
      <w:instrText xml:space="preserve"> PAGE  \* MERGEFORMAT </w:instrText>
    </w:r>
    <w:r>
      <w:fldChar w:fldCharType="separate"/>
    </w:r>
    <w:r w:rsidR="00D03953">
      <w:rPr>
        <w:noProof/>
      </w:rPr>
      <w:t>3</w:t>
    </w:r>
    <w:r>
      <w:fldChar w:fldCharType="end"/>
    </w:r>
  </w:p>
  <w:p w:rsidR="00FC04DA" w:rsidRDefault="00FC04DA" w:rsidP="00FC04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04DA" w:rsidRDefault="00FC04DA" w:rsidP="00FC04DA">
    <w:pPr>
      <w:pStyle w:val="bpuHeadSpon"/>
    </w:pPr>
    <w:r w:rsidRPr="00FC04DA">
      <w:rPr>
        <w:rStyle w:val="bpuHeadSponChar"/>
      </w:rPr>
      <w:t>S2485</w:t>
    </w:r>
    <w:r>
      <w:t xml:space="preserve"> </w:t>
    </w:r>
    <w:r w:rsidR="00E11615">
      <w:t xml:space="preserve">[1R] </w:t>
    </w:r>
    <w:r>
      <w:t>STACK</w:t>
    </w:r>
  </w:p>
  <w:p w:rsidR="00FC04DA" w:rsidRDefault="00FC04DA" w:rsidP="00FC04DA">
    <w:pPr>
      <w:pStyle w:val="bpuHeadSpon"/>
    </w:pPr>
    <w:r>
      <w:fldChar w:fldCharType="begin"/>
    </w:r>
    <w:r>
      <w:instrText xml:space="preserve"> PAGE  \* MERGEFORMAT </w:instrText>
    </w:r>
    <w:r>
      <w:fldChar w:fldCharType="separate"/>
    </w:r>
    <w:r w:rsidR="00D03953">
      <w:rPr>
        <w:noProof/>
      </w:rPr>
      <w:t>2</w:t>
    </w:r>
    <w:r>
      <w:fldChar w:fldCharType="end"/>
    </w:r>
  </w:p>
  <w:p w:rsidR="00FC04DA" w:rsidRDefault="00FC04DA" w:rsidP="00FC04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6AF"/>
    <w:rsid w:val="0000468B"/>
    <w:rsid w:val="000051BD"/>
    <w:rsid w:val="000160A5"/>
    <w:rsid w:val="0002335B"/>
    <w:rsid w:val="0003549A"/>
    <w:rsid w:val="000367AE"/>
    <w:rsid w:val="0003730A"/>
    <w:rsid w:val="00043B22"/>
    <w:rsid w:val="00054975"/>
    <w:rsid w:val="00057D20"/>
    <w:rsid w:val="0006197C"/>
    <w:rsid w:val="0006281F"/>
    <w:rsid w:val="0007091E"/>
    <w:rsid w:val="000709F8"/>
    <w:rsid w:val="0008141C"/>
    <w:rsid w:val="00083D4C"/>
    <w:rsid w:val="00094A55"/>
    <w:rsid w:val="000A44A7"/>
    <w:rsid w:val="000A7F71"/>
    <w:rsid w:val="000B1054"/>
    <w:rsid w:val="000B3411"/>
    <w:rsid w:val="000C054C"/>
    <w:rsid w:val="000C12C2"/>
    <w:rsid w:val="000C3D29"/>
    <w:rsid w:val="000D11AF"/>
    <w:rsid w:val="000D3E5E"/>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02B"/>
    <w:rsid w:val="00222983"/>
    <w:rsid w:val="002370D0"/>
    <w:rsid w:val="00255958"/>
    <w:rsid w:val="002562F1"/>
    <w:rsid w:val="00257FA2"/>
    <w:rsid w:val="0026574A"/>
    <w:rsid w:val="002660BB"/>
    <w:rsid w:val="002720E8"/>
    <w:rsid w:val="00275293"/>
    <w:rsid w:val="002776B0"/>
    <w:rsid w:val="00286C7E"/>
    <w:rsid w:val="00294955"/>
    <w:rsid w:val="002A1029"/>
    <w:rsid w:val="002A3A1A"/>
    <w:rsid w:val="002A4692"/>
    <w:rsid w:val="002A51BA"/>
    <w:rsid w:val="002B2566"/>
    <w:rsid w:val="002B2E26"/>
    <w:rsid w:val="002B3FE6"/>
    <w:rsid w:val="002B718C"/>
    <w:rsid w:val="002C2D81"/>
    <w:rsid w:val="002C461E"/>
    <w:rsid w:val="002C6CEC"/>
    <w:rsid w:val="002C7DFF"/>
    <w:rsid w:val="002D01A5"/>
    <w:rsid w:val="002D3991"/>
    <w:rsid w:val="002E09CE"/>
    <w:rsid w:val="002E5447"/>
    <w:rsid w:val="002E5DE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08A"/>
    <w:rsid w:val="003B3837"/>
    <w:rsid w:val="003C43EF"/>
    <w:rsid w:val="003C5771"/>
    <w:rsid w:val="003C5A6B"/>
    <w:rsid w:val="003C7FB2"/>
    <w:rsid w:val="003D214D"/>
    <w:rsid w:val="003D24DE"/>
    <w:rsid w:val="003E26D4"/>
    <w:rsid w:val="003E47BA"/>
    <w:rsid w:val="003F3B37"/>
    <w:rsid w:val="0040195A"/>
    <w:rsid w:val="00402DC0"/>
    <w:rsid w:val="00406B1B"/>
    <w:rsid w:val="00415EA7"/>
    <w:rsid w:val="00416669"/>
    <w:rsid w:val="00416C4B"/>
    <w:rsid w:val="0041751E"/>
    <w:rsid w:val="004211E5"/>
    <w:rsid w:val="00422091"/>
    <w:rsid w:val="0043386C"/>
    <w:rsid w:val="00433C89"/>
    <w:rsid w:val="00436F2D"/>
    <w:rsid w:val="00436F5D"/>
    <w:rsid w:val="00441B42"/>
    <w:rsid w:val="0044298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E76"/>
    <w:rsid w:val="004C742C"/>
    <w:rsid w:val="004E1F3E"/>
    <w:rsid w:val="004E5EB9"/>
    <w:rsid w:val="004E621A"/>
    <w:rsid w:val="004F21BD"/>
    <w:rsid w:val="004F4F1D"/>
    <w:rsid w:val="004F74DD"/>
    <w:rsid w:val="00501317"/>
    <w:rsid w:val="0050495C"/>
    <w:rsid w:val="00505DC9"/>
    <w:rsid w:val="00506E1E"/>
    <w:rsid w:val="00513C81"/>
    <w:rsid w:val="00513C8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481"/>
    <w:rsid w:val="005C7F3C"/>
    <w:rsid w:val="005E017C"/>
    <w:rsid w:val="005E50C6"/>
    <w:rsid w:val="005F2A97"/>
    <w:rsid w:val="005F399B"/>
    <w:rsid w:val="006019F8"/>
    <w:rsid w:val="00602BA0"/>
    <w:rsid w:val="00605B20"/>
    <w:rsid w:val="00606F8E"/>
    <w:rsid w:val="0061156F"/>
    <w:rsid w:val="00612AEA"/>
    <w:rsid w:val="00613FF5"/>
    <w:rsid w:val="006155A8"/>
    <w:rsid w:val="0062145B"/>
    <w:rsid w:val="00621B94"/>
    <w:rsid w:val="00626239"/>
    <w:rsid w:val="00627706"/>
    <w:rsid w:val="00635316"/>
    <w:rsid w:val="00635449"/>
    <w:rsid w:val="006378C5"/>
    <w:rsid w:val="00645E6A"/>
    <w:rsid w:val="00665CBC"/>
    <w:rsid w:val="00667A5C"/>
    <w:rsid w:val="00677316"/>
    <w:rsid w:val="00683AE6"/>
    <w:rsid w:val="00686AEB"/>
    <w:rsid w:val="006A48E0"/>
    <w:rsid w:val="006B7897"/>
    <w:rsid w:val="006B7FA7"/>
    <w:rsid w:val="006C086A"/>
    <w:rsid w:val="006C21C1"/>
    <w:rsid w:val="006C7327"/>
    <w:rsid w:val="006D00E5"/>
    <w:rsid w:val="006D6296"/>
    <w:rsid w:val="006D791B"/>
    <w:rsid w:val="006E2895"/>
    <w:rsid w:val="006E6C92"/>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535"/>
    <w:rsid w:val="008236AF"/>
    <w:rsid w:val="00832816"/>
    <w:rsid w:val="00837109"/>
    <w:rsid w:val="00840365"/>
    <w:rsid w:val="008406A3"/>
    <w:rsid w:val="00841D2C"/>
    <w:rsid w:val="00842537"/>
    <w:rsid w:val="00843A4C"/>
    <w:rsid w:val="00845F3C"/>
    <w:rsid w:val="008461B8"/>
    <w:rsid w:val="008462F1"/>
    <w:rsid w:val="00847EF1"/>
    <w:rsid w:val="008538FA"/>
    <w:rsid w:val="008546AC"/>
    <w:rsid w:val="008573B0"/>
    <w:rsid w:val="00866563"/>
    <w:rsid w:val="00867AC2"/>
    <w:rsid w:val="0087056E"/>
    <w:rsid w:val="00875402"/>
    <w:rsid w:val="00884D51"/>
    <w:rsid w:val="00890FAE"/>
    <w:rsid w:val="008916EC"/>
    <w:rsid w:val="00891E4F"/>
    <w:rsid w:val="00896BBF"/>
    <w:rsid w:val="008A31C5"/>
    <w:rsid w:val="008A4F9A"/>
    <w:rsid w:val="008B2850"/>
    <w:rsid w:val="008C79B3"/>
    <w:rsid w:val="008D3A2C"/>
    <w:rsid w:val="008D77BD"/>
    <w:rsid w:val="008E454C"/>
    <w:rsid w:val="008F1E5A"/>
    <w:rsid w:val="00901BDA"/>
    <w:rsid w:val="009121D8"/>
    <w:rsid w:val="0091631D"/>
    <w:rsid w:val="00916F7A"/>
    <w:rsid w:val="00917FE3"/>
    <w:rsid w:val="009318C7"/>
    <w:rsid w:val="00931C09"/>
    <w:rsid w:val="009348C2"/>
    <w:rsid w:val="009440D0"/>
    <w:rsid w:val="009523A3"/>
    <w:rsid w:val="00956731"/>
    <w:rsid w:val="00957040"/>
    <w:rsid w:val="00960958"/>
    <w:rsid w:val="00963A46"/>
    <w:rsid w:val="00965FE1"/>
    <w:rsid w:val="00966A3E"/>
    <w:rsid w:val="00971493"/>
    <w:rsid w:val="00971AD9"/>
    <w:rsid w:val="00973069"/>
    <w:rsid w:val="00973523"/>
    <w:rsid w:val="0097778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B52"/>
    <w:rsid w:val="009D0E5D"/>
    <w:rsid w:val="009D0F63"/>
    <w:rsid w:val="009D7934"/>
    <w:rsid w:val="009D7CCF"/>
    <w:rsid w:val="009E5961"/>
    <w:rsid w:val="009F4FAC"/>
    <w:rsid w:val="00A017C0"/>
    <w:rsid w:val="00A07B42"/>
    <w:rsid w:val="00A11228"/>
    <w:rsid w:val="00A13091"/>
    <w:rsid w:val="00A16AA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09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1F81"/>
    <w:rsid w:val="00B6342D"/>
    <w:rsid w:val="00B726BD"/>
    <w:rsid w:val="00B732BC"/>
    <w:rsid w:val="00B90C1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B6E"/>
    <w:rsid w:val="00C04F4D"/>
    <w:rsid w:val="00C125BF"/>
    <w:rsid w:val="00C12E48"/>
    <w:rsid w:val="00C13D14"/>
    <w:rsid w:val="00C15F53"/>
    <w:rsid w:val="00C23F09"/>
    <w:rsid w:val="00C25356"/>
    <w:rsid w:val="00C25BFF"/>
    <w:rsid w:val="00C328D0"/>
    <w:rsid w:val="00C46BC1"/>
    <w:rsid w:val="00C5235F"/>
    <w:rsid w:val="00C54CE2"/>
    <w:rsid w:val="00C66BF3"/>
    <w:rsid w:val="00C70140"/>
    <w:rsid w:val="00C73CA7"/>
    <w:rsid w:val="00C8200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E18"/>
    <w:rsid w:val="00CF6106"/>
    <w:rsid w:val="00CF65EB"/>
    <w:rsid w:val="00CF72AD"/>
    <w:rsid w:val="00D02441"/>
    <w:rsid w:val="00D03953"/>
    <w:rsid w:val="00D039F4"/>
    <w:rsid w:val="00D10496"/>
    <w:rsid w:val="00D11173"/>
    <w:rsid w:val="00D1215F"/>
    <w:rsid w:val="00D16561"/>
    <w:rsid w:val="00D17FF8"/>
    <w:rsid w:val="00D268AC"/>
    <w:rsid w:val="00D27FF3"/>
    <w:rsid w:val="00D343D0"/>
    <w:rsid w:val="00D3664D"/>
    <w:rsid w:val="00D500E9"/>
    <w:rsid w:val="00D507BC"/>
    <w:rsid w:val="00D52C8F"/>
    <w:rsid w:val="00D6090A"/>
    <w:rsid w:val="00D62FA3"/>
    <w:rsid w:val="00D63B6F"/>
    <w:rsid w:val="00D64A90"/>
    <w:rsid w:val="00D763B0"/>
    <w:rsid w:val="00D9410B"/>
    <w:rsid w:val="00D9695B"/>
    <w:rsid w:val="00DA2417"/>
    <w:rsid w:val="00DA5585"/>
    <w:rsid w:val="00DB02AC"/>
    <w:rsid w:val="00DB4332"/>
    <w:rsid w:val="00DB65C1"/>
    <w:rsid w:val="00DB6AA2"/>
    <w:rsid w:val="00DC331D"/>
    <w:rsid w:val="00DE10D1"/>
    <w:rsid w:val="00DE2514"/>
    <w:rsid w:val="00DE6851"/>
    <w:rsid w:val="00DF03EE"/>
    <w:rsid w:val="00DF20FB"/>
    <w:rsid w:val="00E01B71"/>
    <w:rsid w:val="00E04C8F"/>
    <w:rsid w:val="00E05CC9"/>
    <w:rsid w:val="00E11615"/>
    <w:rsid w:val="00E15573"/>
    <w:rsid w:val="00E25A5B"/>
    <w:rsid w:val="00E373C7"/>
    <w:rsid w:val="00E4267B"/>
    <w:rsid w:val="00E42F13"/>
    <w:rsid w:val="00E452DF"/>
    <w:rsid w:val="00E46A29"/>
    <w:rsid w:val="00E53410"/>
    <w:rsid w:val="00E543CF"/>
    <w:rsid w:val="00E546FD"/>
    <w:rsid w:val="00E608F1"/>
    <w:rsid w:val="00E611B9"/>
    <w:rsid w:val="00E67094"/>
    <w:rsid w:val="00E7144F"/>
    <w:rsid w:val="00E73D74"/>
    <w:rsid w:val="00E75550"/>
    <w:rsid w:val="00E76A79"/>
    <w:rsid w:val="00E77E14"/>
    <w:rsid w:val="00E80692"/>
    <w:rsid w:val="00E80C24"/>
    <w:rsid w:val="00E93836"/>
    <w:rsid w:val="00EA62AE"/>
    <w:rsid w:val="00EA7C16"/>
    <w:rsid w:val="00EC5281"/>
    <w:rsid w:val="00EC791D"/>
    <w:rsid w:val="00EC7CA6"/>
    <w:rsid w:val="00ED3C5D"/>
    <w:rsid w:val="00ED4553"/>
    <w:rsid w:val="00EF0E4E"/>
    <w:rsid w:val="00F00D08"/>
    <w:rsid w:val="00F15583"/>
    <w:rsid w:val="00F200EE"/>
    <w:rsid w:val="00F22481"/>
    <w:rsid w:val="00F2542E"/>
    <w:rsid w:val="00F27278"/>
    <w:rsid w:val="00F344E3"/>
    <w:rsid w:val="00F34D58"/>
    <w:rsid w:val="00F3737A"/>
    <w:rsid w:val="00F41A9D"/>
    <w:rsid w:val="00F44314"/>
    <w:rsid w:val="00F54B9C"/>
    <w:rsid w:val="00F56E96"/>
    <w:rsid w:val="00F573DD"/>
    <w:rsid w:val="00F61E59"/>
    <w:rsid w:val="00F63D99"/>
    <w:rsid w:val="00F6426B"/>
    <w:rsid w:val="00F709B3"/>
    <w:rsid w:val="00F71A5E"/>
    <w:rsid w:val="00FA0806"/>
    <w:rsid w:val="00FA0AFC"/>
    <w:rsid w:val="00FA1C82"/>
    <w:rsid w:val="00FA2ED1"/>
    <w:rsid w:val="00FA4A52"/>
    <w:rsid w:val="00FB0297"/>
    <w:rsid w:val="00FB4045"/>
    <w:rsid w:val="00FB4D8E"/>
    <w:rsid w:val="00FC04DA"/>
    <w:rsid w:val="00FC0D0A"/>
    <w:rsid w:val="00FC1B0B"/>
    <w:rsid w:val="00FC2CEC"/>
    <w:rsid w:val="00FD2F97"/>
    <w:rsid w:val="00FE44C8"/>
    <w:rsid w:val="00FF50C0"/>
    <w:rsid w:val="00FF6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4A2979"/>
  <w15:docId w15:val="{53C19694-75F6-483E-B691-1033433E6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C04DA"/>
  </w:style>
  <w:style w:type="paragraph" w:styleId="BalloonText">
    <w:name w:val="Balloon Text"/>
    <w:basedOn w:val="Normal"/>
    <w:link w:val="BalloonTextChar"/>
    <w:semiHidden/>
    <w:unhideWhenUsed/>
    <w:rsid w:val="000709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09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737</Words>
  <Characters>3798</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S2485 1R</vt:lpstr>
    </vt:vector>
  </TitlesOfParts>
  <Manager>R224</Manager>
  <Company>NJ Office of Legislative Services</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S2485 1R</dc:title>
  <dc:subject/>
  <dc:creator>Senator  STACK</dc:creator>
  <cp:keywords>S2485|3|LG |266|264|252|!||</cp:keywords>
  <dc:description>INTRODUCED MAY 14, 2020_x000d_
Amended 6/11/20</dc:description>
  <cp:lastModifiedBy>Todaro, Vivian</cp:lastModifiedBy>
  <cp:revision>2</cp:revision>
  <cp:lastPrinted>2020-06-15T21:51:00Z</cp:lastPrinted>
  <dcterms:created xsi:type="dcterms:W3CDTF">2020-06-15T21:52:00Z</dcterms:created>
  <dcterms:modified xsi:type="dcterms:W3CDTF">2020-06-15T21:52:00Z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