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55053" w14:textId="77777777" w:rsidR="00EC4079" w:rsidRDefault="00EC4079" w:rsidP="00EC4079">
      <w:pPr>
        <w:tabs>
          <w:tab w:val="left" w:pos="360"/>
          <w:tab w:val="left" w:pos="720"/>
          <w:tab w:val="left" w:pos="1440"/>
          <w:tab w:val="left" w:pos="2160"/>
          <w:tab w:val="left" w:pos="2880"/>
          <w:tab w:val="left" w:pos="3600"/>
          <w:tab w:val="left" w:pos="4320"/>
          <w:tab w:val="left" w:pos="5040"/>
        </w:tabs>
      </w:pPr>
    </w:p>
    <w:p w14:paraId="1D2755A6" w14:textId="77777777" w:rsidR="00407C9E" w:rsidRPr="00407C9E" w:rsidRDefault="005F55CF" w:rsidP="00407C9E">
      <w:pPr>
        <w:pStyle w:val="NoteOrEstimate"/>
      </w:pPr>
      <w:r>
        <w:t>LEGISLATIVE FISCAL ESTIMATE</w:t>
      </w:r>
    </w:p>
    <w:p w14:paraId="090D7E73" w14:textId="77777777" w:rsidR="003C5892" w:rsidRDefault="005F55CF"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2513</w:t>
      </w:r>
    </w:p>
    <w:p w14:paraId="65B8BDA5" w14:textId="77777777" w:rsidR="003C5892" w:rsidRPr="00353325" w:rsidRDefault="003C5892" w:rsidP="00353325">
      <w:pPr>
        <w:pStyle w:val="StateFormat"/>
      </w:pPr>
      <w:r>
        <w:t xml:space="preserve">STATE OF NEW </w:t>
      </w:r>
      <w:smartTag w:uri="urn:schemas-microsoft-com:office:smarttags" w:element="place">
        <w:r>
          <w:t>JERSEY</w:t>
        </w:r>
      </w:smartTag>
    </w:p>
    <w:p w14:paraId="7B5041CC" w14:textId="4BB72EA0" w:rsidR="00353325" w:rsidRDefault="007E1E35" w:rsidP="007E1E35">
      <w:pPr>
        <w:pStyle w:val="BillNo"/>
      </w:pPr>
      <w:r>
        <w:t>219th LEGISLATURE</w:t>
      </w:r>
    </w:p>
    <w:p w14:paraId="50F92DAA" w14:textId="4D847B21" w:rsidR="00353325" w:rsidRDefault="00353325" w:rsidP="00353325"/>
    <w:p w14:paraId="6E747402" w14:textId="7F079F28" w:rsidR="007E1E35" w:rsidRDefault="007E1E35" w:rsidP="007E1E35">
      <w:pPr>
        <w:jc w:val="center"/>
      </w:pPr>
      <w:r>
        <w:t>DATED: MAY 7, 2021</w:t>
      </w:r>
    </w:p>
    <w:p w14:paraId="231BDD5B" w14:textId="6271BD16" w:rsidR="007E1E35" w:rsidRDefault="007E1E35" w:rsidP="00353325"/>
    <w:p w14:paraId="406FE310" w14:textId="77777777" w:rsidR="007E1E35" w:rsidRDefault="007E1E35" w:rsidP="00353325"/>
    <w:p w14:paraId="0259A4A9"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440E88F6"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1C7511DE" w14:textId="77777777">
        <w:trPr>
          <w:trHeight w:val="576"/>
        </w:trPr>
        <w:tc>
          <w:tcPr>
            <w:tcW w:w="2333" w:type="dxa"/>
          </w:tcPr>
          <w:p w14:paraId="7CA92D97"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0147041A" w14:textId="77777777" w:rsidR="003C5892" w:rsidRDefault="00E41390" w:rsidP="00515AC5">
            <w:r w:rsidRPr="00E41390">
              <w:t>Provides for “throwback” rule in calculation of CBT allocation factor and makes net deferred tax impact deduction contingent on fiscal analysis.</w:t>
            </w:r>
          </w:p>
        </w:tc>
      </w:tr>
      <w:tr w:rsidR="003C5892" w14:paraId="6878C5C7" w14:textId="77777777">
        <w:trPr>
          <w:trHeight w:val="576"/>
        </w:trPr>
        <w:tc>
          <w:tcPr>
            <w:tcW w:w="2333" w:type="dxa"/>
          </w:tcPr>
          <w:p w14:paraId="523B42D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46814675" w14:textId="6F08E0F4" w:rsidR="003C5892" w:rsidRDefault="00380321" w:rsidP="0092102B">
            <w:r>
              <w:t xml:space="preserve">Indeterminate </w:t>
            </w:r>
            <w:r w:rsidR="003C5FB7">
              <w:t xml:space="preserve">recurring </w:t>
            </w:r>
            <w:r>
              <w:t xml:space="preserve">annual </w:t>
            </w:r>
            <w:r w:rsidR="0092102B">
              <w:t xml:space="preserve">net </w:t>
            </w:r>
            <w:r>
              <w:t>State revenue gain</w:t>
            </w:r>
            <w:r w:rsidR="0092102B">
              <w:t>.</w:t>
            </w:r>
          </w:p>
        </w:tc>
      </w:tr>
      <w:tr w:rsidR="003C5892" w14:paraId="4ACDE0BA" w14:textId="77777777">
        <w:trPr>
          <w:trHeight w:val="576"/>
        </w:trPr>
        <w:tc>
          <w:tcPr>
            <w:tcW w:w="2333" w:type="dxa"/>
          </w:tcPr>
          <w:p w14:paraId="7C4843D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7B60C761" w14:textId="68DE23FC" w:rsidR="003C5892" w:rsidRDefault="00E41390" w:rsidP="00515AC5">
            <w:r>
              <w:t>Department of the Treasury</w:t>
            </w:r>
            <w:r w:rsidR="003E643E">
              <w:t>.</w:t>
            </w:r>
          </w:p>
        </w:tc>
      </w:tr>
    </w:tbl>
    <w:p w14:paraId="57332F96"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61B57C89"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4040"/>
        <w:gridCol w:w="5320"/>
        <w:gridCol w:w="15"/>
      </w:tblGrid>
      <w:tr w:rsidR="00C75246" w14:paraId="23CE7EAC" w14:textId="77777777" w:rsidTr="00380321">
        <w:trPr>
          <w:trHeight w:val="410"/>
        </w:trPr>
        <w:tc>
          <w:tcPr>
            <w:tcW w:w="9375" w:type="dxa"/>
            <w:gridSpan w:val="3"/>
            <w:tcBorders>
              <w:top w:val="nil"/>
              <w:left w:val="nil"/>
              <w:bottom w:val="nil"/>
              <w:right w:val="nil"/>
            </w:tcBorders>
            <w:vAlign w:val="bottom"/>
          </w:tcPr>
          <w:p w14:paraId="0A7774F5"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80321" w14:paraId="64010138" w14:textId="77777777" w:rsidTr="00087142">
        <w:trPr>
          <w:gridAfter w:val="1"/>
          <w:wAfter w:w="15" w:type="dxa"/>
          <w:trHeight w:val="410"/>
        </w:trPr>
        <w:tc>
          <w:tcPr>
            <w:tcW w:w="4040" w:type="dxa"/>
            <w:tcBorders>
              <w:top w:val="single" w:sz="6" w:space="0" w:color="auto"/>
              <w:left w:val="single" w:sz="6" w:space="0" w:color="auto"/>
              <w:bottom w:val="single" w:sz="12" w:space="0" w:color="auto"/>
              <w:right w:val="nil"/>
            </w:tcBorders>
            <w:shd w:val="pct20" w:color="auto" w:fill="auto"/>
            <w:vAlign w:val="bottom"/>
          </w:tcPr>
          <w:p w14:paraId="43DE51A5" w14:textId="77777777" w:rsidR="00380321" w:rsidRPr="00F11982" w:rsidRDefault="00380321"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320" w:type="dxa"/>
            <w:tcBorders>
              <w:top w:val="single" w:sz="6" w:space="0" w:color="auto"/>
              <w:left w:val="nil"/>
              <w:bottom w:val="single" w:sz="12" w:space="0" w:color="auto"/>
              <w:right w:val="single" w:sz="6" w:space="0" w:color="auto"/>
            </w:tcBorders>
            <w:shd w:val="pct20" w:color="auto" w:fill="auto"/>
            <w:vAlign w:val="bottom"/>
          </w:tcPr>
          <w:p w14:paraId="42EEF385" w14:textId="77777777" w:rsidR="00380321" w:rsidRPr="00F11982" w:rsidRDefault="00380321"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2022 and Thereafter</w:t>
            </w:r>
          </w:p>
        </w:tc>
      </w:tr>
      <w:tr w:rsidR="00380321" w14:paraId="168F81AB" w14:textId="77777777" w:rsidTr="00087142">
        <w:trPr>
          <w:gridAfter w:val="1"/>
          <w:wAfter w:w="15" w:type="dxa"/>
          <w:trHeight w:val="410"/>
        </w:trPr>
        <w:tc>
          <w:tcPr>
            <w:tcW w:w="4040" w:type="dxa"/>
            <w:tcBorders>
              <w:top w:val="nil"/>
              <w:left w:val="single" w:sz="6" w:space="0" w:color="auto"/>
              <w:bottom w:val="nil"/>
              <w:right w:val="nil"/>
            </w:tcBorders>
            <w:tcMar>
              <w:bottom w:w="29" w:type="dxa"/>
            </w:tcMar>
            <w:vAlign w:val="bottom"/>
          </w:tcPr>
          <w:p w14:paraId="15989B43" w14:textId="73EC30E1" w:rsidR="00380321" w:rsidRPr="00F11982" w:rsidRDefault="0092102B" w:rsidP="002D7863">
            <w:pPr>
              <w:tabs>
                <w:tab w:val="left" w:pos="360"/>
                <w:tab w:val="left" w:pos="720"/>
                <w:tab w:val="left" w:pos="1440"/>
                <w:tab w:val="left" w:pos="2160"/>
                <w:tab w:val="left" w:pos="2880"/>
                <w:tab w:val="left" w:pos="3600"/>
                <w:tab w:val="left" w:pos="4320"/>
                <w:tab w:val="left" w:pos="5040"/>
              </w:tabs>
              <w:rPr>
                <w:b/>
              </w:rPr>
            </w:pPr>
            <w:r>
              <w:rPr>
                <w:b/>
              </w:rPr>
              <w:t xml:space="preserve">Net </w:t>
            </w:r>
            <w:r w:rsidR="00380321" w:rsidRPr="00F11982">
              <w:rPr>
                <w:b/>
              </w:rPr>
              <w:t>State Revenue</w:t>
            </w:r>
            <w:r w:rsidR="00380321">
              <w:rPr>
                <w:b/>
              </w:rPr>
              <w:t xml:space="preserve"> Gain</w:t>
            </w:r>
          </w:p>
        </w:tc>
        <w:tc>
          <w:tcPr>
            <w:tcW w:w="5320" w:type="dxa"/>
            <w:tcBorders>
              <w:top w:val="nil"/>
              <w:left w:val="nil"/>
              <w:bottom w:val="nil"/>
              <w:right w:val="single" w:sz="6" w:space="0" w:color="auto"/>
            </w:tcBorders>
            <w:tcMar>
              <w:bottom w:w="29" w:type="dxa"/>
            </w:tcMar>
            <w:vAlign w:val="bottom"/>
          </w:tcPr>
          <w:p w14:paraId="1A890B9F" w14:textId="77777777" w:rsidR="00380321" w:rsidRDefault="00380321"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145BC071" w14:textId="77777777" w:rsidTr="0038032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1A6E4BB9"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1EF2666D"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0E81630" w14:textId="127D65B9" w:rsidR="007E5EB3" w:rsidRDefault="00AF2AAB" w:rsidP="007E1E35">
      <w:pPr>
        <w:pStyle w:val="StyleBulletedSymbolsymbol"/>
        <w:spacing w:after="0"/>
      </w:pPr>
      <w:r w:rsidRPr="00AF2AAB">
        <w:t>The</w:t>
      </w:r>
      <w:r>
        <w:t xml:space="preserve"> </w:t>
      </w:r>
      <w:r w:rsidR="003E643E">
        <w:t>Office of Legislative Services (</w:t>
      </w:r>
      <w:r w:rsidR="003E643E" w:rsidRPr="00AF2AAB">
        <w:t>OLS</w:t>
      </w:r>
      <w:r w:rsidR="003E643E">
        <w:t xml:space="preserve">) notes the </w:t>
      </w:r>
      <w:r>
        <w:t>magnitude of the impact of the “throwback</w:t>
      </w:r>
      <w:r w:rsidRPr="00AF2AAB">
        <w:t xml:space="preserve"> rule</w:t>
      </w:r>
      <w:r>
        <w:t>”</w:t>
      </w:r>
      <w:r w:rsidRPr="00AF2AAB">
        <w:t xml:space="preserve"> on </w:t>
      </w:r>
      <w:r>
        <w:t>corporation business tax (</w:t>
      </w:r>
      <w:r w:rsidRPr="00AF2AAB">
        <w:t>CBT</w:t>
      </w:r>
      <w:r>
        <w:t>)</w:t>
      </w:r>
      <w:r w:rsidRPr="00AF2AAB">
        <w:t xml:space="preserve"> revenues is highly dependent upon where taxpayers are shipping tangible personal property and whether each taxpayer has sufficient business activity in those states or countries to establish jurisdiction.</w:t>
      </w:r>
    </w:p>
    <w:p w14:paraId="6FB414B0" w14:textId="77777777" w:rsidR="007E1E35" w:rsidRDefault="007E1E35" w:rsidP="007E1E35">
      <w:pPr>
        <w:pStyle w:val="StyleBulletedSymbolsymbol"/>
        <w:numPr>
          <w:ilvl w:val="0"/>
          <w:numId w:val="0"/>
        </w:numPr>
        <w:spacing w:after="0"/>
        <w:ind w:left="360" w:hanging="360"/>
      </w:pPr>
    </w:p>
    <w:p w14:paraId="02A7EAC9" w14:textId="138DE2E3" w:rsidR="00346290" w:rsidRDefault="00AF2AAB" w:rsidP="007E1E35">
      <w:pPr>
        <w:pStyle w:val="StyleBulletedSymbolsymbol"/>
        <w:spacing w:after="0"/>
      </w:pPr>
      <w:r>
        <w:t>T</w:t>
      </w:r>
      <w:r w:rsidRPr="00AF2AAB">
        <w:t>he OLS cannot predict future decision making by the Executive concerning the deduction</w:t>
      </w:r>
      <w:r>
        <w:t xml:space="preserve"> relative to net deferred tax impact</w:t>
      </w:r>
      <w:r w:rsidRPr="00AF2AAB">
        <w:t xml:space="preserve">.  </w:t>
      </w:r>
      <w:r w:rsidR="00346290" w:rsidRPr="00346290">
        <w:t>The OLS does not have access to taxpayer return data, so it cannot determine the impact of this deduction on CBT revenues.</w:t>
      </w:r>
    </w:p>
    <w:p w14:paraId="1EC1F8A9" w14:textId="77777777" w:rsidR="007E1E35" w:rsidRDefault="007E1E35" w:rsidP="007E1E35">
      <w:pPr>
        <w:pStyle w:val="ListParagraph"/>
      </w:pPr>
    </w:p>
    <w:p w14:paraId="7EE6CF19" w14:textId="799D6F53" w:rsidR="00AF2AAB" w:rsidRDefault="00AF2AAB" w:rsidP="007E1E35">
      <w:pPr>
        <w:pStyle w:val="StyleBulletedSymbolsymbol"/>
        <w:spacing w:after="0"/>
      </w:pPr>
      <w:r>
        <w:t>A</w:t>
      </w:r>
      <w:r w:rsidRPr="00AF2AAB">
        <w:t>ssessment, reporting, and public hearing requirements could result in an expenditure increase to the Department of the Treasury for administrative purposes.</w:t>
      </w:r>
    </w:p>
    <w:p w14:paraId="28FEE405" w14:textId="77777777" w:rsidR="007E1E35" w:rsidRDefault="007E1E35" w:rsidP="007E1E35">
      <w:pPr>
        <w:pStyle w:val="ListParagraph"/>
      </w:pPr>
    </w:p>
    <w:p w14:paraId="77A3E71F" w14:textId="77777777" w:rsidR="00255944" w:rsidRDefault="00255944" w:rsidP="007E5EB3"/>
    <w:p w14:paraId="555E63B9"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21249703"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3C209A9" w14:textId="77777777"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2A1DB0" w:rsidRPr="002A1DB0">
        <w:t xml:space="preserve">This bill revises aspects of assessments and reporting under the </w:t>
      </w:r>
      <w:r w:rsidR="00AF2AAB">
        <w:t>CBT.</w:t>
      </w:r>
      <w:r w:rsidR="002A1DB0" w:rsidRPr="002A1DB0">
        <w:t xml:space="preserve">  In particular, the bill implements the “throwback rule” to capture certain profits that are not taxed by any state and mandates a fiscal evaluation be performed before a CBT deduction relative to net deferred tax impact becomes available to taxpayers.</w:t>
      </w:r>
    </w:p>
    <w:p w14:paraId="7818F6F1" w14:textId="23E66CD7" w:rsidR="00D04998" w:rsidRDefault="00D04998" w:rsidP="001A3625">
      <w:pPr>
        <w:tabs>
          <w:tab w:val="left" w:pos="360"/>
          <w:tab w:val="left" w:pos="720"/>
          <w:tab w:val="left" w:pos="5760"/>
        </w:tabs>
      </w:pPr>
      <w:r>
        <w:tab/>
        <w:t>The bill amends N.J.S.A.54:10A-6 to include in the sales fraction computation for a CBT taxpayer “sales of [the taxpayer’s] tangible personal property shipp</w:t>
      </w:r>
      <w:bookmarkStart w:id="1" w:name="_GoBack"/>
      <w:bookmarkEnd w:id="1"/>
      <w:r>
        <w:t xml:space="preserve">ed from a location within this </w:t>
      </w:r>
      <w:r>
        <w:lastRenderedPageBreak/>
        <w:t xml:space="preserve">State to a state, possession, or territory of the United States or the District of Columbia, or to any foreign country in which the taxpayer is not subject to a tax on or measured by profits or income, business presence, or business activity.”  The purpose of a throwback rule is to capture income that is otherwise not taxable in another jurisdiction because the taxpayer does not have sufficient physical presence in a state or foreign country where the sale of tangible personal property occurs or the state or foreign country does not impose a similar tax on those receipts.  Thus, if a throwback rule </w:t>
      </w:r>
      <w:r w:rsidR="00C35859">
        <w:t>were</w:t>
      </w:r>
      <w:r>
        <w:t xml:space="preserve"> enacted, sales would be sourced back to New Jersey.</w:t>
      </w:r>
    </w:p>
    <w:p w14:paraId="15F95B62" w14:textId="6A9B672A" w:rsidR="00255944" w:rsidRDefault="003B1D74" w:rsidP="002D7863">
      <w:pPr>
        <w:tabs>
          <w:tab w:val="left" w:pos="360"/>
          <w:tab w:val="left" w:pos="720"/>
          <w:tab w:val="left" w:pos="1440"/>
          <w:tab w:val="left" w:pos="2160"/>
          <w:tab w:val="left" w:pos="2880"/>
          <w:tab w:val="left" w:pos="3600"/>
          <w:tab w:val="left" w:pos="4320"/>
          <w:tab w:val="left" w:pos="5040"/>
        </w:tabs>
      </w:pPr>
      <w:r>
        <w:tab/>
        <w:t>P.L.2018, c.48 created a CBT deduction relative to the impact of net deferred tax (i.e. the difference between deferred tax liabilities and deferred tax assets of a combined group) arising from the imposition of combined reporting.  The bill changes this provision to require the State Treasurer to conduct a general assessment of impact of combined reporting on the net deferred tax liabilities and assets of public traded companies and the potential impact this deduction would have if it were allowed.</w:t>
      </w:r>
      <w:r w:rsidR="000D4266">
        <w:t xml:space="preserve">  If the State Treasurer determines, following a public hearing, that the net deferred tax impact deduction should not be available, then the State Treasurer can disallow the deduction.</w:t>
      </w:r>
    </w:p>
    <w:p w14:paraId="5850C5AC" w14:textId="33514E88" w:rsidR="003B1D74" w:rsidRDefault="003B1D74" w:rsidP="002D7863">
      <w:pPr>
        <w:tabs>
          <w:tab w:val="left" w:pos="360"/>
          <w:tab w:val="left" w:pos="720"/>
          <w:tab w:val="left" w:pos="1440"/>
          <w:tab w:val="left" w:pos="2160"/>
          <w:tab w:val="left" w:pos="2880"/>
          <w:tab w:val="left" w:pos="3600"/>
          <w:tab w:val="left" w:pos="4320"/>
          <w:tab w:val="left" w:pos="5040"/>
        </w:tabs>
      </w:pPr>
    </w:p>
    <w:p w14:paraId="513E98F6" w14:textId="77777777" w:rsidR="007E1E35" w:rsidRDefault="007E1E35" w:rsidP="002D7863">
      <w:pPr>
        <w:tabs>
          <w:tab w:val="left" w:pos="360"/>
          <w:tab w:val="left" w:pos="720"/>
          <w:tab w:val="left" w:pos="1440"/>
          <w:tab w:val="left" w:pos="2160"/>
          <w:tab w:val="left" w:pos="2880"/>
          <w:tab w:val="left" w:pos="3600"/>
          <w:tab w:val="left" w:pos="4320"/>
          <w:tab w:val="left" w:pos="5040"/>
        </w:tabs>
      </w:pPr>
    </w:p>
    <w:p w14:paraId="1A3380EA" w14:textId="47A24F6B"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44E5615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ED3C8EE"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0DD01E2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4211017" w14:textId="77777777" w:rsidR="00255944" w:rsidRDefault="00375117" w:rsidP="002D7863">
      <w:pPr>
        <w:tabs>
          <w:tab w:val="left" w:pos="360"/>
          <w:tab w:val="left" w:pos="720"/>
          <w:tab w:val="left" w:pos="1440"/>
          <w:tab w:val="left" w:pos="2160"/>
          <w:tab w:val="left" w:pos="2880"/>
          <w:tab w:val="left" w:pos="3600"/>
          <w:tab w:val="left" w:pos="4320"/>
          <w:tab w:val="left" w:pos="5040"/>
        </w:tabs>
      </w:pPr>
      <w:r>
        <w:tab/>
      </w:r>
      <w:r w:rsidR="00255944">
        <w:t>None received.</w:t>
      </w:r>
    </w:p>
    <w:p w14:paraId="6DFA0AC7"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C7C73D3"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3D741F1F"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729BC0A" w14:textId="093607E2" w:rsidR="00E41390" w:rsidRDefault="00E41390" w:rsidP="001A3625">
      <w:pPr>
        <w:tabs>
          <w:tab w:val="left" w:pos="360"/>
          <w:tab w:val="left" w:pos="720"/>
          <w:tab w:val="left" w:pos="5760"/>
        </w:tabs>
      </w:pPr>
      <w:r>
        <w:tab/>
        <w:t xml:space="preserve">The OLS does not have access to taxpayer return data that would assist in quantifying </w:t>
      </w:r>
      <w:r w:rsidR="00D04998">
        <w:t xml:space="preserve">the “throwback rule” </w:t>
      </w:r>
      <w:r>
        <w:t>provision in the bill.  However, the Fiscal Year 2019 New Jersey Tax Expenditure Report</w:t>
      </w:r>
      <w:r>
        <w:rPr>
          <w:rStyle w:val="FootnoteReference"/>
        </w:rPr>
        <w:footnoteReference w:id="1"/>
      </w:r>
      <w:r>
        <w:t xml:space="preserve"> included an estimate of $127 million in forgone revenue </w:t>
      </w:r>
      <w:r w:rsidR="00380321">
        <w:t>because</w:t>
      </w:r>
      <w:r>
        <w:t xml:space="preserve"> of the State not having a throwback rule in place.  This information </w:t>
      </w:r>
      <w:r w:rsidR="00380321">
        <w:t>wa</w:t>
      </w:r>
      <w:r>
        <w:t>s based on actual tax returns processed by the Division of Taxation from 2007 and 2008.  The magnitude of the impact of this rule on CBT revenues is highly dependent upon where taxpayers are shipping tangible personal property and whether each taxpayer has sufficient business activity in those states or countries to establish jurisdiction.  To provide some perspective, two states, South Dakota and Wyoming, do not impose a corporate income tax or gross receipts tax.</w:t>
      </w:r>
      <w:r>
        <w:rPr>
          <w:rStyle w:val="FootnoteReference"/>
        </w:rPr>
        <w:footnoteReference w:id="2"/>
      </w:r>
      <w:r>
        <w:t xml:space="preserve">  Four states, Nevada, Ohio, Texas, and Washington, impose gross receipts taxes.</w:t>
      </w:r>
      <w:r>
        <w:rPr>
          <w:rStyle w:val="FootnoteReference"/>
        </w:rPr>
        <w:footnoteReference w:id="3"/>
      </w:r>
      <w:r>
        <w:t xml:space="preserve">  All other states </w:t>
      </w:r>
      <w:r w:rsidR="003B1D74">
        <w:t xml:space="preserve">and most foreign nations with large markets </w:t>
      </w:r>
      <w:r>
        <w:t xml:space="preserve">impose some form of a corporate income tax, but the OLS does not have information regarding the </w:t>
      </w:r>
      <w:r w:rsidR="003B1D74">
        <w:t>taxpayers that ship products from New Jersey to</w:t>
      </w:r>
      <w:r>
        <w:t xml:space="preserve"> those states.  </w:t>
      </w:r>
    </w:p>
    <w:p w14:paraId="5EC9855B" w14:textId="70E336EC" w:rsidR="007E1E35" w:rsidRDefault="00E41390" w:rsidP="007E1E35">
      <w:pPr>
        <w:tabs>
          <w:tab w:val="left" w:pos="360"/>
          <w:tab w:val="left" w:pos="720"/>
          <w:tab w:val="left" w:pos="5760"/>
        </w:tabs>
      </w:pPr>
      <w:r>
        <w:tab/>
      </w:r>
      <w:r w:rsidR="003B1D74">
        <w:t xml:space="preserve">The impact of the bill’s provision regarding net deferred tax will be dependent on the State Treasurer’s decision on whether or not to allow the deduction.  In the event that the deduction is </w:t>
      </w:r>
      <w:r w:rsidR="002174A3">
        <w:t>dis</w:t>
      </w:r>
      <w:r w:rsidR="003B1D74">
        <w:t xml:space="preserve">allowed, the fiscal impact will be highly sensitive to the specific circumstances of a relatively few taxpayers.  </w:t>
      </w:r>
      <w:r>
        <w:t>The OLS does not have access to taxpayer return data, so it cannot determine the impact of this deduction on CBT revenues.  Any data that are immediately available would likely be inadequate</w:t>
      </w:r>
      <w:r w:rsidR="002174A3">
        <w:t>,</w:t>
      </w:r>
      <w:r>
        <w:t xml:space="preserve"> since the impact of combined reporting on these companies and any subsequent devaluation </w:t>
      </w:r>
      <w:r w:rsidR="002A1DB0">
        <w:t>continues to evolve</w:t>
      </w:r>
      <w:r>
        <w:t xml:space="preserve">.  </w:t>
      </w:r>
      <w:r w:rsidR="002A1DB0">
        <w:t>The</w:t>
      </w:r>
      <w:r>
        <w:t xml:space="preserve"> assessment, reporting, and public hearing requirements could result in an expenditure increase to the Department of the Treasury for administrative purposes.</w:t>
      </w:r>
      <w:r w:rsidR="007E1E35">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61C33A01" w14:textId="77777777" w:rsidTr="007E1E35">
        <w:trPr>
          <w:trHeight w:val="403"/>
        </w:trPr>
        <w:tc>
          <w:tcPr>
            <w:tcW w:w="1260" w:type="dxa"/>
            <w:tcBorders>
              <w:top w:val="nil"/>
              <w:left w:val="nil"/>
              <w:bottom w:val="nil"/>
              <w:right w:val="nil"/>
            </w:tcBorders>
          </w:tcPr>
          <w:p w14:paraId="513558D3" w14:textId="77777777"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14:paraId="069D75F7" w14:textId="77777777" w:rsidR="00EF17BC" w:rsidRDefault="00375117" w:rsidP="00EF17BC">
            <w:pPr>
              <w:pStyle w:val="10pointItalics"/>
              <w:rPr>
                <w:sz w:val="24"/>
              </w:rPr>
            </w:pPr>
            <w:r>
              <w:t>Revenue, Finance and Appropriations</w:t>
            </w:r>
          </w:p>
        </w:tc>
      </w:tr>
      <w:tr w:rsidR="00EF17BC" w14:paraId="3486B5D3" w14:textId="77777777" w:rsidTr="007E1E35">
        <w:trPr>
          <w:trHeight w:val="403"/>
        </w:trPr>
        <w:tc>
          <w:tcPr>
            <w:tcW w:w="1260" w:type="dxa"/>
            <w:tcBorders>
              <w:top w:val="nil"/>
              <w:left w:val="nil"/>
              <w:bottom w:val="nil"/>
              <w:right w:val="nil"/>
            </w:tcBorders>
          </w:tcPr>
          <w:p w14:paraId="199517D3"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07BFBCDE" w14:textId="77777777" w:rsidR="00EF17BC" w:rsidRDefault="00C60C53" w:rsidP="00EF17BC">
            <w:pPr>
              <w:pStyle w:val="10pointItalics"/>
            </w:pPr>
            <w:bookmarkStart w:id="2" w:name="UserFullName"/>
            <w:bookmarkEnd w:id="2"/>
            <w:r>
              <w:t>Jordan</w:t>
            </w:r>
            <w:r w:rsidR="00375117">
              <w:t xml:space="preserve"> M. DiGiovanni</w:t>
            </w:r>
          </w:p>
          <w:p w14:paraId="61BD4180" w14:textId="77777777" w:rsidR="00EF17BC" w:rsidRDefault="00375117" w:rsidP="00375117">
            <w:pPr>
              <w:pStyle w:val="10pointItalics"/>
              <w:rPr>
                <w:sz w:val="24"/>
              </w:rPr>
            </w:pPr>
            <w:r>
              <w:t>Revenue Analyst</w:t>
            </w:r>
          </w:p>
        </w:tc>
      </w:tr>
      <w:tr w:rsidR="00EF17BC" w14:paraId="5F6060E7" w14:textId="77777777" w:rsidTr="007E1E35">
        <w:trPr>
          <w:trHeight w:val="403"/>
        </w:trPr>
        <w:tc>
          <w:tcPr>
            <w:tcW w:w="1260" w:type="dxa"/>
            <w:tcBorders>
              <w:top w:val="nil"/>
              <w:left w:val="nil"/>
              <w:bottom w:val="nil"/>
              <w:right w:val="nil"/>
            </w:tcBorders>
            <w:tcMar>
              <w:top w:w="72" w:type="dxa"/>
            </w:tcMar>
          </w:tcPr>
          <w:p w14:paraId="2EFA2FD4"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4F099921" w14:textId="77777777" w:rsidR="00EF17BC" w:rsidRDefault="00881BED" w:rsidP="00EF17BC">
            <w:pPr>
              <w:pStyle w:val="10pointItalics"/>
            </w:pPr>
            <w:r>
              <w:t>Thomas Koenig</w:t>
            </w:r>
          </w:p>
          <w:p w14:paraId="3E445AE9" w14:textId="77777777" w:rsidR="00EF17BC" w:rsidRDefault="00EF17BC" w:rsidP="00EF17BC">
            <w:pPr>
              <w:pStyle w:val="10pointItalics"/>
              <w:rPr>
                <w:sz w:val="24"/>
              </w:rPr>
            </w:pPr>
            <w:r>
              <w:t>Legislative Budget and Finance Officer</w:t>
            </w:r>
          </w:p>
        </w:tc>
      </w:tr>
    </w:tbl>
    <w:p w14:paraId="0F7269F8" w14:textId="77777777" w:rsidR="00EF17BC" w:rsidRDefault="00EF17BC" w:rsidP="00EF17BC">
      <w:pPr>
        <w:spacing w:line="287" w:lineRule="atLeast"/>
      </w:pPr>
    </w:p>
    <w:p w14:paraId="076C4728" w14:textId="77777777" w:rsidR="001411D9" w:rsidRDefault="001411D9" w:rsidP="00EF17BC">
      <w:pPr>
        <w:tabs>
          <w:tab w:val="left" w:pos="360"/>
          <w:tab w:val="left" w:pos="720"/>
          <w:tab w:val="left" w:pos="1440"/>
          <w:tab w:val="left" w:pos="2160"/>
          <w:tab w:val="left" w:pos="2880"/>
          <w:tab w:val="left" w:pos="3600"/>
          <w:tab w:val="left" w:pos="4320"/>
          <w:tab w:val="left" w:pos="5040"/>
        </w:tabs>
      </w:pPr>
    </w:p>
    <w:p w14:paraId="3357FFB9" w14:textId="1EA051BB" w:rsidR="00EF17BC" w:rsidRDefault="005F55CF"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51FA31A0"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064EA3AA"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F55CF">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716EA8">
      <w:headerReference w:type="default" r:id="rId8"/>
      <w:footerReference w:type="first" r:id="rId9"/>
      <w:pgSz w:w="12240" w:h="20160" w:code="5"/>
      <w:pgMar w:top="1440" w:right="1440" w:bottom="1440" w:left="1440" w:header="1440" w:footer="6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0C607" w14:textId="77777777" w:rsidR="006D767E" w:rsidRDefault="006D767E">
      <w:r>
        <w:separator/>
      </w:r>
    </w:p>
  </w:endnote>
  <w:endnote w:type="continuationSeparator" w:id="0">
    <w:p w14:paraId="4AEB8B7B" w14:textId="77777777" w:rsidR="006D767E" w:rsidRDefault="006D7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466D194D" w14:textId="77777777">
      <w:trPr>
        <w:trHeight w:hRule="exact" w:val="144"/>
      </w:trPr>
      <w:tc>
        <w:tcPr>
          <w:tcW w:w="3084" w:type="dxa"/>
          <w:tcBorders>
            <w:bottom w:val="single" w:sz="12" w:space="0" w:color="auto"/>
          </w:tcBorders>
        </w:tcPr>
        <w:p w14:paraId="5BC9F2D8" w14:textId="77777777" w:rsidR="00E042C5" w:rsidRDefault="00E042C5" w:rsidP="001106B5">
          <w:pPr>
            <w:pStyle w:val="10pointItalics"/>
          </w:pPr>
        </w:p>
      </w:tc>
      <w:tc>
        <w:tcPr>
          <w:tcW w:w="2856" w:type="dxa"/>
          <w:tcBorders>
            <w:bottom w:val="single" w:sz="12" w:space="0" w:color="auto"/>
          </w:tcBorders>
        </w:tcPr>
        <w:p w14:paraId="6D761D49" w14:textId="77777777" w:rsidR="00E042C5" w:rsidRPr="001106B5" w:rsidRDefault="00E042C5">
          <w:pPr>
            <w:pStyle w:val="Footer"/>
            <w:rPr>
              <w:noProof/>
              <w:sz w:val="20"/>
              <w:szCs w:val="20"/>
            </w:rPr>
          </w:pPr>
        </w:p>
      </w:tc>
      <w:tc>
        <w:tcPr>
          <w:tcW w:w="3420" w:type="dxa"/>
          <w:tcBorders>
            <w:bottom w:val="single" w:sz="12" w:space="0" w:color="auto"/>
          </w:tcBorders>
        </w:tcPr>
        <w:p w14:paraId="674E6B09" w14:textId="77777777" w:rsidR="00E042C5" w:rsidRDefault="00E042C5" w:rsidP="001106B5">
          <w:pPr>
            <w:pStyle w:val="10pointItalics"/>
          </w:pPr>
        </w:p>
      </w:tc>
    </w:tr>
    <w:tr w:rsidR="00E042C5" w14:paraId="4CB63B98" w14:textId="77777777">
      <w:trPr>
        <w:trHeight w:val="887"/>
      </w:trPr>
      <w:tc>
        <w:tcPr>
          <w:tcW w:w="3084" w:type="dxa"/>
          <w:tcBorders>
            <w:top w:val="single" w:sz="12" w:space="0" w:color="auto"/>
          </w:tcBorders>
          <w:tcMar>
            <w:top w:w="29" w:type="dxa"/>
            <w:left w:w="115" w:type="dxa"/>
            <w:right w:w="115" w:type="dxa"/>
          </w:tcMar>
          <w:vAlign w:val="bottom"/>
        </w:tcPr>
        <w:p w14:paraId="6270816D" w14:textId="77777777" w:rsidR="00E042C5" w:rsidRDefault="00E042C5" w:rsidP="00125D26">
          <w:pPr>
            <w:pStyle w:val="10pointItalics"/>
            <w:jc w:val="center"/>
          </w:pPr>
          <w:r>
            <w:t>Office of Legislative Services</w:t>
          </w:r>
        </w:p>
        <w:p w14:paraId="1122265D" w14:textId="77777777" w:rsidR="00E042C5" w:rsidRDefault="00E042C5" w:rsidP="00125D26">
          <w:pPr>
            <w:pStyle w:val="10pointItalics"/>
            <w:jc w:val="center"/>
          </w:pPr>
          <w:r>
            <w:t>State House Annex</w:t>
          </w:r>
        </w:p>
        <w:p w14:paraId="6626899C"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6F7A1EFA"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3B035FF2" w14:textId="77777777" w:rsidR="00E042C5" w:rsidRDefault="00EB33FA">
          <w:pPr>
            <w:pStyle w:val="Footer"/>
          </w:pPr>
          <w:r>
            <w:rPr>
              <w:noProof/>
              <w:sz w:val="20"/>
              <w:szCs w:val="20"/>
            </w:rPr>
            <w:object w:dxaOrig="1440" w:dyaOrig="1440" w14:anchorId="0DFD5D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1888488" r:id="rId2"/>
            </w:object>
          </w:r>
        </w:p>
      </w:tc>
      <w:tc>
        <w:tcPr>
          <w:tcW w:w="3420" w:type="dxa"/>
          <w:tcBorders>
            <w:top w:val="single" w:sz="12" w:space="0" w:color="auto"/>
          </w:tcBorders>
          <w:tcMar>
            <w:top w:w="29" w:type="dxa"/>
            <w:left w:w="115" w:type="dxa"/>
            <w:right w:w="115" w:type="dxa"/>
          </w:tcMar>
          <w:vAlign w:val="bottom"/>
        </w:tcPr>
        <w:p w14:paraId="0B849BF6" w14:textId="77777777" w:rsidR="00E042C5" w:rsidRDefault="00E042C5" w:rsidP="00125D26">
          <w:pPr>
            <w:pStyle w:val="10pointItalics"/>
            <w:jc w:val="center"/>
          </w:pPr>
          <w:r>
            <w:t>Legislative Budget and Finance Office</w:t>
          </w:r>
        </w:p>
        <w:p w14:paraId="795FE60F" w14:textId="77777777" w:rsidR="00E042C5" w:rsidRDefault="00E042C5" w:rsidP="00125D26">
          <w:pPr>
            <w:pStyle w:val="10pointItalics"/>
            <w:jc w:val="center"/>
          </w:pPr>
          <w:r>
            <w:t>Phone (609) 847-3105</w:t>
          </w:r>
        </w:p>
        <w:p w14:paraId="6F09C867" w14:textId="77777777" w:rsidR="00E042C5" w:rsidRDefault="00E042C5" w:rsidP="00125D26">
          <w:pPr>
            <w:pStyle w:val="10pointItalics"/>
            <w:jc w:val="center"/>
          </w:pPr>
          <w:r>
            <w:t>Fax (609) 777-2442</w:t>
          </w:r>
        </w:p>
        <w:p w14:paraId="655A1A77" w14:textId="77777777" w:rsidR="00E042C5" w:rsidRDefault="00E042C5" w:rsidP="00125D26">
          <w:pPr>
            <w:pStyle w:val="10pointItalics"/>
            <w:jc w:val="center"/>
          </w:pPr>
          <w:r>
            <w:t>www.njleg.state.nj.us</w:t>
          </w:r>
        </w:p>
      </w:tc>
    </w:tr>
  </w:tbl>
  <w:p w14:paraId="0619136F"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E5CE4E" w14:textId="77777777" w:rsidR="006D767E" w:rsidRDefault="006D767E">
      <w:r>
        <w:separator/>
      </w:r>
    </w:p>
  </w:footnote>
  <w:footnote w:type="continuationSeparator" w:id="0">
    <w:p w14:paraId="458917DA" w14:textId="77777777" w:rsidR="006D767E" w:rsidRDefault="006D767E">
      <w:r>
        <w:continuationSeparator/>
      </w:r>
    </w:p>
  </w:footnote>
  <w:footnote w:id="1">
    <w:p w14:paraId="4BE64F8C" w14:textId="77777777" w:rsidR="00E41390" w:rsidRDefault="00E41390" w:rsidP="00E41390">
      <w:pPr>
        <w:pStyle w:val="FootnoteText"/>
      </w:pPr>
      <w:r>
        <w:rPr>
          <w:rStyle w:val="FootnoteReference"/>
        </w:rPr>
        <w:footnoteRef/>
      </w:r>
      <w:r>
        <w:t xml:space="preserve"> </w:t>
      </w:r>
      <w:hyperlink r:id="rId1" w:history="1">
        <w:r>
          <w:rPr>
            <w:rStyle w:val="Hyperlink"/>
          </w:rPr>
          <w:t>https://www.state.nj.us/treasury/taxation/pdf/taxexpenditurereport2018.pdf</w:t>
        </w:r>
      </w:hyperlink>
    </w:p>
  </w:footnote>
  <w:footnote w:id="2">
    <w:p w14:paraId="5D8699AE" w14:textId="77777777" w:rsidR="00E41390" w:rsidRDefault="00E41390" w:rsidP="00E41390">
      <w:pPr>
        <w:pStyle w:val="FootnoteText"/>
      </w:pPr>
      <w:r>
        <w:rPr>
          <w:rStyle w:val="FootnoteReference"/>
        </w:rPr>
        <w:footnoteRef/>
      </w:r>
      <w:r>
        <w:t xml:space="preserve"> </w:t>
      </w:r>
      <w:hyperlink r:id="rId2" w:history="1">
        <w:r>
          <w:rPr>
            <w:rStyle w:val="Hyperlink"/>
          </w:rPr>
          <w:t>https://www.taxadmin.org/assets/docs/Research/Rates/corp_inc.pdf</w:t>
        </w:r>
      </w:hyperlink>
    </w:p>
  </w:footnote>
  <w:footnote w:id="3">
    <w:p w14:paraId="0FC290AA" w14:textId="77777777" w:rsidR="00E41390" w:rsidRDefault="00E41390" w:rsidP="00E41390">
      <w:pPr>
        <w:pStyle w:val="FootnoteText"/>
      </w:pPr>
      <w:r>
        <w:rPr>
          <w:rStyle w:val="FootnoteReference"/>
        </w:rPr>
        <w:footnoteRef/>
      </w:r>
      <w:r>
        <w:t xml:space="preserve"> </w:t>
      </w:r>
      <w:hyperlink r:id="rId3" w:history="1">
        <w:r>
          <w:rPr>
            <w:rStyle w:val="Hyperlink"/>
          </w:rPr>
          <w:t>https://taxfoundation.org/state-corporate-rates-brackets-2019/</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EE3CB" w14:textId="227B47B6" w:rsidR="005F55CF" w:rsidRDefault="005F55CF" w:rsidP="005F55CF">
    <w:pPr>
      <w:pStyle w:val="Header"/>
      <w:jc w:val="center"/>
    </w:pPr>
    <w:r>
      <w:t>F</w:t>
    </w:r>
    <w:r w:rsidR="007E1E35">
      <w:t>E to S</w:t>
    </w:r>
    <w:r>
      <w:t xml:space="preserve">2513 </w:t>
    </w:r>
  </w:p>
  <w:p w14:paraId="4F15BFA8" w14:textId="63DF5F53" w:rsidR="005F55CF" w:rsidRDefault="005F55CF" w:rsidP="005F55CF">
    <w:pPr>
      <w:pStyle w:val="Header"/>
      <w:jc w:val="center"/>
    </w:pPr>
    <w:r>
      <w:fldChar w:fldCharType="begin"/>
    </w:r>
    <w:r>
      <w:instrText xml:space="preserve"> PAGE  \* MERGEFORMAT </w:instrText>
    </w:r>
    <w:r>
      <w:fldChar w:fldCharType="separate"/>
    </w:r>
    <w:r w:rsidR="00EB33FA">
      <w:rPr>
        <w:noProof/>
      </w:rPr>
      <w:t>3</w:t>
    </w:r>
    <w:r>
      <w:fldChar w:fldCharType="end"/>
    </w:r>
  </w:p>
  <w:p w14:paraId="106672DD" w14:textId="77777777" w:rsidR="005F55CF" w:rsidRDefault="005F55CF" w:rsidP="005F55C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5CF"/>
    <w:rsid w:val="00011EDD"/>
    <w:rsid w:val="00013973"/>
    <w:rsid w:val="000333DF"/>
    <w:rsid w:val="00036860"/>
    <w:rsid w:val="00041E11"/>
    <w:rsid w:val="00042B0B"/>
    <w:rsid w:val="000629F9"/>
    <w:rsid w:val="000701B0"/>
    <w:rsid w:val="00070F62"/>
    <w:rsid w:val="000820F8"/>
    <w:rsid w:val="0008691D"/>
    <w:rsid w:val="00087142"/>
    <w:rsid w:val="00095290"/>
    <w:rsid w:val="000A16EC"/>
    <w:rsid w:val="000B1CCB"/>
    <w:rsid w:val="000B725C"/>
    <w:rsid w:val="000C074D"/>
    <w:rsid w:val="000C50EA"/>
    <w:rsid w:val="000D4266"/>
    <w:rsid w:val="000E08DD"/>
    <w:rsid w:val="000E17DB"/>
    <w:rsid w:val="000F0A12"/>
    <w:rsid w:val="000F231D"/>
    <w:rsid w:val="000F278B"/>
    <w:rsid w:val="000F2B57"/>
    <w:rsid w:val="001106B5"/>
    <w:rsid w:val="00114591"/>
    <w:rsid w:val="00115411"/>
    <w:rsid w:val="001223E7"/>
    <w:rsid w:val="00125D26"/>
    <w:rsid w:val="001411D9"/>
    <w:rsid w:val="00142AE8"/>
    <w:rsid w:val="00145CE4"/>
    <w:rsid w:val="00157AED"/>
    <w:rsid w:val="00172CF5"/>
    <w:rsid w:val="001907A1"/>
    <w:rsid w:val="00193C26"/>
    <w:rsid w:val="00194789"/>
    <w:rsid w:val="00197240"/>
    <w:rsid w:val="001A3625"/>
    <w:rsid w:val="001B1D4B"/>
    <w:rsid w:val="001B2BA9"/>
    <w:rsid w:val="001D0C90"/>
    <w:rsid w:val="001D3FD4"/>
    <w:rsid w:val="001F4F8B"/>
    <w:rsid w:val="00201322"/>
    <w:rsid w:val="00203C53"/>
    <w:rsid w:val="00210E60"/>
    <w:rsid w:val="002116FF"/>
    <w:rsid w:val="00212908"/>
    <w:rsid w:val="00213CFF"/>
    <w:rsid w:val="002174A3"/>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1DB0"/>
    <w:rsid w:val="002A2F18"/>
    <w:rsid w:val="002A5C0C"/>
    <w:rsid w:val="002D4307"/>
    <w:rsid w:val="002D7381"/>
    <w:rsid w:val="002D7863"/>
    <w:rsid w:val="002E3A30"/>
    <w:rsid w:val="002F5E01"/>
    <w:rsid w:val="00326E3B"/>
    <w:rsid w:val="003321A7"/>
    <w:rsid w:val="00335BC0"/>
    <w:rsid w:val="003376CB"/>
    <w:rsid w:val="00346290"/>
    <w:rsid w:val="00353325"/>
    <w:rsid w:val="0035698A"/>
    <w:rsid w:val="00362F0A"/>
    <w:rsid w:val="003646BC"/>
    <w:rsid w:val="00366943"/>
    <w:rsid w:val="00370174"/>
    <w:rsid w:val="00375117"/>
    <w:rsid w:val="003772F6"/>
    <w:rsid w:val="00380321"/>
    <w:rsid w:val="00381FCA"/>
    <w:rsid w:val="003828C4"/>
    <w:rsid w:val="00385E41"/>
    <w:rsid w:val="00386200"/>
    <w:rsid w:val="003A5E75"/>
    <w:rsid w:val="003B1D74"/>
    <w:rsid w:val="003B66B0"/>
    <w:rsid w:val="003C23FD"/>
    <w:rsid w:val="003C5892"/>
    <w:rsid w:val="003C5FB7"/>
    <w:rsid w:val="003C6FD3"/>
    <w:rsid w:val="003D4453"/>
    <w:rsid w:val="003E643E"/>
    <w:rsid w:val="00407C9E"/>
    <w:rsid w:val="0041022E"/>
    <w:rsid w:val="004149CC"/>
    <w:rsid w:val="00426C11"/>
    <w:rsid w:val="004740DC"/>
    <w:rsid w:val="00485323"/>
    <w:rsid w:val="00487ED8"/>
    <w:rsid w:val="004911CB"/>
    <w:rsid w:val="00491918"/>
    <w:rsid w:val="004A10CD"/>
    <w:rsid w:val="004A2E7F"/>
    <w:rsid w:val="004A5A65"/>
    <w:rsid w:val="004B1485"/>
    <w:rsid w:val="004C6ECA"/>
    <w:rsid w:val="004D336B"/>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39F9"/>
    <w:rsid w:val="005E75AB"/>
    <w:rsid w:val="005F55CF"/>
    <w:rsid w:val="00601F73"/>
    <w:rsid w:val="00625D15"/>
    <w:rsid w:val="00651611"/>
    <w:rsid w:val="00653AE2"/>
    <w:rsid w:val="006671C7"/>
    <w:rsid w:val="006917CF"/>
    <w:rsid w:val="00692BD4"/>
    <w:rsid w:val="006B22F3"/>
    <w:rsid w:val="006B2FD5"/>
    <w:rsid w:val="006B5C2D"/>
    <w:rsid w:val="006B6C16"/>
    <w:rsid w:val="006D6F6C"/>
    <w:rsid w:val="006D767E"/>
    <w:rsid w:val="006F239A"/>
    <w:rsid w:val="006F505D"/>
    <w:rsid w:val="006F7203"/>
    <w:rsid w:val="00716EA8"/>
    <w:rsid w:val="00722AEF"/>
    <w:rsid w:val="00737A6C"/>
    <w:rsid w:val="00743F01"/>
    <w:rsid w:val="00744AE4"/>
    <w:rsid w:val="00763D60"/>
    <w:rsid w:val="007833B1"/>
    <w:rsid w:val="007920AC"/>
    <w:rsid w:val="00796DD0"/>
    <w:rsid w:val="007A0F7E"/>
    <w:rsid w:val="007A42C5"/>
    <w:rsid w:val="007A65A1"/>
    <w:rsid w:val="007A7A31"/>
    <w:rsid w:val="007B1FCF"/>
    <w:rsid w:val="007C4620"/>
    <w:rsid w:val="007E1E35"/>
    <w:rsid w:val="007E337B"/>
    <w:rsid w:val="007E5EB3"/>
    <w:rsid w:val="00804E41"/>
    <w:rsid w:val="00811BC0"/>
    <w:rsid w:val="008231E8"/>
    <w:rsid w:val="008266B7"/>
    <w:rsid w:val="00854B89"/>
    <w:rsid w:val="00855555"/>
    <w:rsid w:val="00881BED"/>
    <w:rsid w:val="00881EF3"/>
    <w:rsid w:val="00883E7C"/>
    <w:rsid w:val="00886261"/>
    <w:rsid w:val="008875C2"/>
    <w:rsid w:val="00894971"/>
    <w:rsid w:val="008C0341"/>
    <w:rsid w:val="008D5731"/>
    <w:rsid w:val="008E1349"/>
    <w:rsid w:val="0092102B"/>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AF2AAB"/>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35859"/>
    <w:rsid w:val="00C60C53"/>
    <w:rsid w:val="00C75246"/>
    <w:rsid w:val="00C80B0B"/>
    <w:rsid w:val="00C91EDF"/>
    <w:rsid w:val="00C97447"/>
    <w:rsid w:val="00CC2CB1"/>
    <w:rsid w:val="00CC6622"/>
    <w:rsid w:val="00D04998"/>
    <w:rsid w:val="00D20F5D"/>
    <w:rsid w:val="00D2324A"/>
    <w:rsid w:val="00D376ED"/>
    <w:rsid w:val="00D40E4F"/>
    <w:rsid w:val="00D638D0"/>
    <w:rsid w:val="00D67A0A"/>
    <w:rsid w:val="00D734B9"/>
    <w:rsid w:val="00D762A6"/>
    <w:rsid w:val="00D762BF"/>
    <w:rsid w:val="00D84564"/>
    <w:rsid w:val="00D958CF"/>
    <w:rsid w:val="00D968A7"/>
    <w:rsid w:val="00DC2149"/>
    <w:rsid w:val="00DC5506"/>
    <w:rsid w:val="00DC789F"/>
    <w:rsid w:val="00DD3C40"/>
    <w:rsid w:val="00DD7275"/>
    <w:rsid w:val="00DE1C6C"/>
    <w:rsid w:val="00DE47C2"/>
    <w:rsid w:val="00DE5037"/>
    <w:rsid w:val="00DF054C"/>
    <w:rsid w:val="00DF65C1"/>
    <w:rsid w:val="00E008A4"/>
    <w:rsid w:val="00E042C5"/>
    <w:rsid w:val="00E06D7C"/>
    <w:rsid w:val="00E12D37"/>
    <w:rsid w:val="00E21963"/>
    <w:rsid w:val="00E22D9A"/>
    <w:rsid w:val="00E262A3"/>
    <w:rsid w:val="00E32D2F"/>
    <w:rsid w:val="00E41390"/>
    <w:rsid w:val="00E51E95"/>
    <w:rsid w:val="00E54526"/>
    <w:rsid w:val="00E5461B"/>
    <w:rsid w:val="00E708C9"/>
    <w:rsid w:val="00E74E35"/>
    <w:rsid w:val="00E75B93"/>
    <w:rsid w:val="00E86D2A"/>
    <w:rsid w:val="00E9123C"/>
    <w:rsid w:val="00E95800"/>
    <w:rsid w:val="00EB1C90"/>
    <w:rsid w:val="00EB33FA"/>
    <w:rsid w:val="00EC1EF8"/>
    <w:rsid w:val="00EC2547"/>
    <w:rsid w:val="00EC4079"/>
    <w:rsid w:val="00EC5C6F"/>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7327"/>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D619140"/>
  <w15:docId w15:val="{B362618E-6CCE-4550-A9E8-FBC5B023D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FootnoteText">
    <w:name w:val="footnote text"/>
    <w:basedOn w:val="Normal"/>
    <w:link w:val="FootnoteTextChar"/>
    <w:rsid w:val="00E41390"/>
    <w:pPr>
      <w:spacing w:line="240" w:lineRule="auto"/>
      <w:jc w:val="left"/>
    </w:pPr>
    <w:rPr>
      <w:sz w:val="20"/>
      <w:szCs w:val="20"/>
    </w:rPr>
  </w:style>
  <w:style w:type="character" w:customStyle="1" w:styleId="FootnoteTextChar">
    <w:name w:val="Footnote Text Char"/>
    <w:basedOn w:val="DefaultParagraphFont"/>
    <w:link w:val="FootnoteText"/>
    <w:rsid w:val="00E41390"/>
  </w:style>
  <w:style w:type="character" w:styleId="FootnoteReference">
    <w:name w:val="footnote reference"/>
    <w:basedOn w:val="DefaultParagraphFont"/>
    <w:rsid w:val="00E41390"/>
    <w:rPr>
      <w:vertAlign w:val="superscript"/>
    </w:rPr>
  </w:style>
  <w:style w:type="character" w:styleId="Hyperlink">
    <w:name w:val="Hyperlink"/>
    <w:basedOn w:val="DefaultParagraphFont"/>
    <w:uiPriority w:val="99"/>
    <w:unhideWhenUsed/>
    <w:rsid w:val="00E41390"/>
    <w:rPr>
      <w:color w:val="0000FF"/>
      <w:u w:val="single"/>
    </w:rPr>
  </w:style>
  <w:style w:type="character" w:styleId="FollowedHyperlink">
    <w:name w:val="FollowedHyperlink"/>
    <w:basedOn w:val="DefaultParagraphFont"/>
    <w:semiHidden/>
    <w:unhideWhenUsed/>
    <w:rsid w:val="00E41390"/>
    <w:rPr>
      <w:color w:val="800080" w:themeColor="followedHyperlink"/>
      <w:u w:val="single"/>
    </w:rPr>
  </w:style>
  <w:style w:type="paragraph" w:styleId="BalloonText">
    <w:name w:val="Balloon Text"/>
    <w:basedOn w:val="Normal"/>
    <w:link w:val="BalloonTextChar"/>
    <w:semiHidden/>
    <w:unhideWhenUsed/>
    <w:rsid w:val="00D049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4998"/>
    <w:rPr>
      <w:rFonts w:ascii="Segoe UI" w:hAnsi="Segoe UI" w:cs="Segoe UI"/>
      <w:sz w:val="18"/>
      <w:szCs w:val="18"/>
    </w:rPr>
  </w:style>
  <w:style w:type="character" w:styleId="CommentReference">
    <w:name w:val="annotation reference"/>
    <w:basedOn w:val="DefaultParagraphFont"/>
    <w:semiHidden/>
    <w:unhideWhenUsed/>
    <w:rsid w:val="003B1D74"/>
    <w:rPr>
      <w:sz w:val="16"/>
      <w:szCs w:val="16"/>
    </w:rPr>
  </w:style>
  <w:style w:type="paragraph" w:styleId="CommentText">
    <w:name w:val="annotation text"/>
    <w:basedOn w:val="Normal"/>
    <w:link w:val="CommentTextChar"/>
    <w:semiHidden/>
    <w:unhideWhenUsed/>
    <w:rsid w:val="003B1D74"/>
    <w:pPr>
      <w:spacing w:line="240" w:lineRule="auto"/>
    </w:pPr>
    <w:rPr>
      <w:sz w:val="20"/>
      <w:szCs w:val="20"/>
    </w:rPr>
  </w:style>
  <w:style w:type="character" w:customStyle="1" w:styleId="CommentTextChar">
    <w:name w:val="Comment Text Char"/>
    <w:basedOn w:val="DefaultParagraphFont"/>
    <w:link w:val="CommentText"/>
    <w:semiHidden/>
    <w:rsid w:val="003B1D74"/>
  </w:style>
  <w:style w:type="paragraph" w:styleId="CommentSubject">
    <w:name w:val="annotation subject"/>
    <w:basedOn w:val="CommentText"/>
    <w:next w:val="CommentText"/>
    <w:link w:val="CommentSubjectChar"/>
    <w:semiHidden/>
    <w:unhideWhenUsed/>
    <w:rsid w:val="003B1D74"/>
    <w:rPr>
      <w:b/>
      <w:bCs/>
    </w:rPr>
  </w:style>
  <w:style w:type="character" w:customStyle="1" w:styleId="CommentSubjectChar">
    <w:name w:val="Comment Subject Char"/>
    <w:basedOn w:val="CommentTextChar"/>
    <w:link w:val="CommentSubject"/>
    <w:semiHidden/>
    <w:rsid w:val="003B1D74"/>
    <w:rPr>
      <w:b/>
      <w:bCs/>
    </w:rPr>
  </w:style>
  <w:style w:type="paragraph" w:styleId="ListParagraph">
    <w:name w:val="List Paragraph"/>
    <w:basedOn w:val="Normal"/>
    <w:uiPriority w:val="34"/>
    <w:qFormat/>
    <w:rsid w:val="007E1E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notes.xml.rels><?xml version="1.0" encoding="UTF-8" standalone="yes"?>
<Relationships xmlns="http://schemas.openxmlformats.org/package/2006/relationships"><Relationship Id="rId3" Type="http://schemas.openxmlformats.org/officeDocument/2006/relationships/hyperlink" Target="https://taxfoundation.org/state-corporate-rates-brackets-2019/" TargetMode="External"/><Relationship Id="rId2" Type="http://schemas.openxmlformats.org/officeDocument/2006/relationships/hyperlink" Target="https://www.taxadmin.org/assets/docs/Research/Rates/corp_inc.pdf" TargetMode="External"/><Relationship Id="rId1" Type="http://schemas.openxmlformats.org/officeDocument/2006/relationships/hyperlink" Target="https://www.state.nj.us/treasury/taxation/pdf/taxexpenditurereport2018.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6D858-4AAA-4E67-8B67-F87476774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854</Words>
  <Characters>4630</Characters>
  <Application>Microsoft Office Word</Application>
  <DocSecurity>0</DocSecurity>
  <Lines>108</Lines>
  <Paragraphs>40</Paragraphs>
  <ScaleCrop>false</ScaleCrop>
  <HeadingPairs>
    <vt:vector size="2" baseType="variant">
      <vt:variant>
        <vt:lpstr>Title</vt:lpstr>
      </vt:variant>
      <vt:variant>
        <vt:i4>1</vt:i4>
      </vt:variant>
    </vt:vector>
  </HeadingPairs>
  <TitlesOfParts>
    <vt:vector size="1" baseType="lpstr">
      <vt:lpstr>S2513   FISCAL ESTIMATE</vt:lpstr>
    </vt:vector>
  </TitlesOfParts>
  <Manager>DiGiovanni, Jordan; R225</Manager>
  <Company>Office of Legislative Services</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S2513  FISCAL ESTIMATE</dc:title>
  <dc:creator>Senator SINGLETON</dc:creator>
  <cp:keywords>S2513|3|RF |282|265|265|!|0|</cp:keywords>
  <dc:description>Sponsor 5/3</dc:description>
  <cp:lastModifiedBy>Siracusa, Nicole</cp:lastModifiedBy>
  <cp:revision>2</cp:revision>
  <dcterms:created xsi:type="dcterms:W3CDTF">2021-05-07T14:28:00Z</dcterms:created>
  <dcterms:modified xsi:type="dcterms:W3CDTF">2021-05-07T14:28:00Z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