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B1" w:rsidRDefault="00AF26B1" w:rsidP="00AF26B1">
      <w:pPr>
        <w:pStyle w:val="bpuBill"/>
      </w:pPr>
      <w:bookmarkStart w:id="0" w:name="bpuFrontPg"/>
      <w:bookmarkStart w:id="1" w:name="_GoBack"/>
      <w:bookmarkEnd w:id="0"/>
      <w:bookmarkEnd w:id="1"/>
      <w:r>
        <w:t xml:space="preserve">SENATE, No. 2592 </w:t>
      </w:r>
    </w:p>
    <w:p w:rsidR="00AF26B1" w:rsidRPr="009D38FF" w:rsidRDefault="00AF26B1" w:rsidP="00AF26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5643" r:id="rId7"/>
        </w:object>
      </w:r>
    </w:p>
    <w:p w:rsidR="00AF26B1" w:rsidRDefault="00AF26B1" w:rsidP="00AF26B1">
      <w:pPr>
        <w:pStyle w:val="bpuState"/>
      </w:pPr>
      <w:r>
        <w:t>STATE OF NEW JERSEY</w:t>
      </w:r>
    </w:p>
    <w:p w:rsidR="00AF26B1" w:rsidRDefault="00AF26B1" w:rsidP="00AF26B1">
      <w:pPr>
        <w:pStyle w:val="bpuLegislature"/>
      </w:pPr>
      <w:r>
        <w:t>219th LEGISLATURE</w:t>
      </w:r>
    </w:p>
    <w:p w:rsidR="00AF26B1" w:rsidRDefault="00AF26B1" w:rsidP="00AF26B1">
      <w:pPr>
        <w:pStyle w:val="bpuWpGraphic"/>
      </w:pPr>
      <w:r>
        <w:object w:dxaOrig="8985" w:dyaOrig="255">
          <v:shape id="_x0000_i1026" type="#_x0000_t75" style="width:6in;height:12pt" o:ole="">
            <v:imagedata r:id="rId6" o:title=""/>
          </v:shape>
          <o:OLEObject Type="Embed" ProgID="WPWin6.1" ShapeID="_x0000_i1026" DrawAspect="Content" ObjectID="_1660385644" r:id="rId8"/>
        </w:object>
      </w:r>
      <w:r>
        <w:t xml:space="preserve">  </w:t>
      </w:r>
    </w:p>
    <w:p w:rsidR="00AF26B1" w:rsidRDefault="00A63420" w:rsidP="00AF26B1">
      <w:pPr>
        <w:pStyle w:val="bpuIntro"/>
      </w:pPr>
      <w:r>
        <w:t>INTRODUCED JUNE 22</w:t>
      </w:r>
      <w:r w:rsidR="00AF26B1">
        <w:t>, 2020</w:t>
      </w:r>
    </w:p>
    <w:p w:rsidR="00AF26B1" w:rsidRDefault="00AF26B1" w:rsidP="00AF26B1">
      <w:pPr>
        <w:pStyle w:val="bpuIntro"/>
      </w:pPr>
    </w:p>
    <w:p w:rsidR="00AF26B1" w:rsidRDefault="00AF26B1" w:rsidP="00AF26B1">
      <w:pPr>
        <w:pStyle w:val="bpuIntro"/>
        <w:sectPr w:rsidR="00AF26B1" w:rsidSect="009528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26B1" w:rsidRDefault="00AF26B1" w:rsidP="00AF26B1">
      <w:pPr>
        <w:pStyle w:val="bpuIntro"/>
      </w:pPr>
    </w:p>
    <w:p w:rsidR="00AF26B1" w:rsidRDefault="00AF26B1" w:rsidP="00AF26B1">
      <w:pPr>
        <w:pStyle w:val="bpuSponsor"/>
      </w:pPr>
      <w:r>
        <w:t>Sponsored by:</w:t>
      </w:r>
    </w:p>
    <w:p w:rsidR="00AF26B1" w:rsidRDefault="00AF26B1" w:rsidP="00AF26B1">
      <w:pPr>
        <w:pStyle w:val="bpuSponsor"/>
      </w:pPr>
      <w:r>
        <w:t>Senator  NELLIE POU</w:t>
      </w:r>
    </w:p>
    <w:p w:rsidR="00AF26B1" w:rsidRDefault="00AF26B1" w:rsidP="00AF26B1">
      <w:pPr>
        <w:pStyle w:val="bpuSponsor"/>
      </w:pPr>
      <w:r>
        <w:t>District 35 (Bergen and Passaic)</w:t>
      </w:r>
    </w:p>
    <w:p w:rsidR="00AF26B1" w:rsidRDefault="00B61192" w:rsidP="00B61192">
      <w:pPr>
        <w:pStyle w:val="bpuSponsor"/>
      </w:pPr>
      <w:r>
        <w:t>Senator  SHIRLEY K. TURNER</w:t>
      </w:r>
    </w:p>
    <w:p w:rsidR="00B61192" w:rsidRDefault="00B61192" w:rsidP="00B61192">
      <w:pPr>
        <w:pStyle w:val="bpuSponsor"/>
      </w:pPr>
      <w:r>
        <w:t>District 15 (Hunterdon and Mercer)</w:t>
      </w:r>
    </w:p>
    <w:p w:rsidR="00B61192" w:rsidRPr="00B61192" w:rsidRDefault="00B61192" w:rsidP="00B61192">
      <w:pPr>
        <w:pStyle w:val="bpuSponsor"/>
      </w:pPr>
    </w:p>
    <w:p w:rsidR="0085687A" w:rsidRDefault="009528DF" w:rsidP="009528DF">
      <w:pPr>
        <w:pStyle w:val="bpuSponsor"/>
      </w:pPr>
      <w:r>
        <w:t>Co-Sponsored by:</w:t>
      </w:r>
    </w:p>
    <w:p w:rsidR="009528DF" w:rsidRPr="009528DF" w:rsidRDefault="009528DF" w:rsidP="009528DF">
      <w:pPr>
        <w:pStyle w:val="bpuSponsor"/>
      </w:pPr>
      <w:r w:rsidRPr="009528DF">
        <w:t>Senators Scutari and Ruiz</w:t>
      </w:r>
    </w:p>
    <w:p w:rsidR="0085687A" w:rsidRDefault="0085687A" w:rsidP="0085687A"/>
    <w:p w:rsidR="009528DF" w:rsidRPr="0085687A" w:rsidRDefault="009528DF" w:rsidP="0085687A"/>
    <w:p w:rsidR="00AF26B1" w:rsidRDefault="00AF26B1" w:rsidP="00AF26B1">
      <w:pPr>
        <w:pStyle w:val="bpuSponsor"/>
      </w:pPr>
    </w:p>
    <w:p w:rsidR="00AF26B1" w:rsidRDefault="00AF26B1" w:rsidP="00AF26B1">
      <w:pPr>
        <w:pStyle w:val="bpuSponsor"/>
      </w:pPr>
    </w:p>
    <w:p w:rsidR="00AF26B1" w:rsidRDefault="00AF26B1" w:rsidP="00AF26B1">
      <w:pPr>
        <w:pStyle w:val="bpuSponsor"/>
      </w:pPr>
      <w:r>
        <w:t>SYNOPSIS</w:t>
      </w:r>
    </w:p>
    <w:p w:rsidR="00AF26B1" w:rsidRDefault="00AF26B1" w:rsidP="00AF26B1">
      <w:pPr>
        <w:pStyle w:val="bpuNormText"/>
      </w:pPr>
      <w:r>
        <w:tab/>
        <w:t xml:space="preserve">Establishes youthful age of defendant as mitigating factor in sentencing. </w:t>
      </w:r>
    </w:p>
    <w:p w:rsidR="00AF26B1" w:rsidRDefault="00AF26B1" w:rsidP="00AF26B1">
      <w:pPr>
        <w:pStyle w:val="bpuNormText"/>
      </w:pPr>
    </w:p>
    <w:p w:rsidR="00AF26B1" w:rsidRDefault="00AF26B1" w:rsidP="00AF26B1">
      <w:pPr>
        <w:pStyle w:val="bpuSponsor"/>
      </w:pPr>
      <w:r>
        <w:t xml:space="preserve">CURRENT VERSION OF TEXT </w:t>
      </w:r>
    </w:p>
    <w:p w:rsidR="00AF26B1" w:rsidRDefault="00AF26B1" w:rsidP="00AF26B1">
      <w:pPr>
        <w:pStyle w:val="bpuNormText"/>
      </w:pPr>
      <w:r>
        <w:tab/>
        <w:t>As introduced.</w:t>
      </w:r>
    </w:p>
    <w:p w:rsidR="00AF26B1" w:rsidRDefault="00AF26B1" w:rsidP="00AF26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26B1" w:rsidRDefault="00AF26B1" w:rsidP="008916EC">
      <w:pPr>
        <w:pStyle w:val="FronterPage"/>
        <w:tabs>
          <w:tab w:val="clear" w:pos="720"/>
          <w:tab w:val="clear" w:pos="1440"/>
          <w:tab w:val="clear" w:pos="2160"/>
          <w:tab w:val="clear" w:pos="2880"/>
          <w:tab w:val="clear" w:pos="3600"/>
          <w:tab w:val="clear" w:pos="4320"/>
          <w:tab w:val="clear" w:pos="5040"/>
        </w:tabs>
        <w:sectPr w:rsidR="00AF26B1" w:rsidSect="00AF26B1">
          <w:type w:val="continuous"/>
          <w:pgSz w:w="12240" w:h="20160" w:code="5"/>
          <w:pgMar w:top="1440" w:right="2275" w:bottom="1440" w:left="2275" w:header="72" w:footer="720" w:gutter="0"/>
          <w:pgNumType w:start="1"/>
          <w:cols w:space="720"/>
          <w:docGrid w:linePitch="360"/>
        </w:sectPr>
      </w:pPr>
    </w:p>
    <w:p w:rsidR="00686AEB" w:rsidRPr="00677316" w:rsidRDefault="0085227E" w:rsidP="003E47BA">
      <w:pPr>
        <w:pStyle w:val="HangingAnAct"/>
        <w:rPr>
          <w:rStyle w:val="HangingAnActChar"/>
        </w:rPr>
      </w:pPr>
      <w:r>
        <w:rPr>
          <w:rStyle w:val="BillHead"/>
        </w:rPr>
        <w:lastRenderedPageBreak/>
        <w:t>An Act</w:t>
      </w:r>
      <w:r w:rsidR="00686AEB" w:rsidRPr="006B7FA7">
        <w:rPr>
          <w:rStyle w:val="HangingAnActChar"/>
        </w:rPr>
        <w:t xml:space="preserve"> </w:t>
      </w:r>
      <w:r w:rsidR="009245F0" w:rsidRPr="00352239">
        <w:t>concerning sentencing and amending N.J.S.2C:44-1</w:t>
      </w:r>
      <w:r w:rsidR="009245F0">
        <w:t>.</w:t>
      </w:r>
    </w:p>
    <w:p w:rsidR="000B1054" w:rsidRPr="00D71D68" w:rsidRDefault="000B1054" w:rsidP="000B1054"/>
    <w:p w:rsidR="00686AEB" w:rsidRPr="00AA7880" w:rsidRDefault="00686AEB" w:rsidP="00686AEB">
      <w:r>
        <w:tab/>
      </w:r>
      <w:r w:rsidR="0085227E">
        <w:rPr>
          <w:rStyle w:val="BillHeading2"/>
        </w:rPr>
        <w:t>Be It Enacted</w:t>
      </w:r>
      <w:r>
        <w:rPr>
          <w:rStyle w:val="BillHeading2"/>
        </w:rPr>
        <w:t xml:space="preserve"> </w:t>
      </w:r>
      <w:r w:rsidR="0085227E">
        <w:rPr>
          <w:rStyle w:val="BillLanguage"/>
        </w:rPr>
        <w:t>by the Senate and General Assembly of the State of New Jersey:</w:t>
      </w:r>
    </w:p>
    <w:p w:rsidR="00686AEB" w:rsidRPr="00D71D68" w:rsidRDefault="00686AEB" w:rsidP="00686AEB"/>
    <w:p w:rsidR="009245F0" w:rsidRDefault="009245F0" w:rsidP="009245F0">
      <w:r>
        <w:tab/>
        <w:t>1.</w:t>
      </w:r>
      <w:r w:rsidR="004B3276">
        <w:tab/>
      </w:r>
      <w:r>
        <w:t>N.J.S.2C:44-1 is amended to read as follows:</w:t>
      </w:r>
    </w:p>
    <w:p w:rsidR="009245F0" w:rsidRDefault="009245F0" w:rsidP="009245F0">
      <w:r>
        <w:tab/>
        <w:t>2C:44-1.</w:t>
      </w:r>
      <w:r w:rsidR="004B3276">
        <w:tab/>
      </w:r>
      <w:r>
        <w:t>a.</w:t>
      </w:r>
      <w:r w:rsidR="004B3276">
        <w:t xml:space="preserve"> </w:t>
      </w:r>
      <w:r>
        <w:t xml:space="preserve"> In determining the appropriate sentence to be imposed on a person who has been convicted of an offense, the court shall consider the following aggravating circumstances:  </w:t>
      </w:r>
    </w:p>
    <w:p w:rsidR="009245F0" w:rsidRDefault="009245F0" w:rsidP="009245F0">
      <w:r>
        <w:tab/>
        <w:t>(1)</w:t>
      </w:r>
      <w:r>
        <w:tab/>
        <w:t xml:space="preserve">The nature and circumstances of the offense, and the role of the actor </w:t>
      </w:r>
      <w:r w:rsidRPr="00BF20CC">
        <w:rPr>
          <w:rFonts w:ascii="Albertus Extra Bold" w:hAnsi="Albertus Extra Bold"/>
          <w:b/>
        </w:rPr>
        <w:t>[</w:t>
      </w:r>
      <w:r>
        <w:t>therein</w:t>
      </w:r>
      <w:r w:rsidRPr="00BF20CC">
        <w:rPr>
          <w:rFonts w:ascii="Albertus Extra Bold" w:hAnsi="Albertus Extra Bold"/>
          <w:b/>
        </w:rPr>
        <w:t>]</w:t>
      </w:r>
      <w:r>
        <w:t xml:space="preserve"> </w:t>
      </w:r>
      <w:r>
        <w:rPr>
          <w:u w:val="single"/>
        </w:rPr>
        <w:t>in committing the offense</w:t>
      </w:r>
      <w:r>
        <w:t xml:space="preserve">, including whether or not it was committed in an especially heinous, cruel, or depraved manner;  </w:t>
      </w:r>
    </w:p>
    <w:p w:rsidR="009245F0" w:rsidRDefault="009245F0" w:rsidP="009245F0">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9245F0" w:rsidRDefault="009245F0" w:rsidP="009245F0">
      <w:r>
        <w:tab/>
        <w:t>(3)</w:t>
      </w:r>
      <w:r>
        <w:tab/>
        <w:t xml:space="preserve">The risk that the defendant will commit another offense; </w:t>
      </w:r>
    </w:p>
    <w:p w:rsidR="009245F0" w:rsidRDefault="009245F0" w:rsidP="009245F0">
      <w:r>
        <w:tab/>
        <w:t>(4)</w:t>
      </w:r>
      <w:r>
        <w:tab/>
        <w:t xml:space="preserve">A lesser sentence will depreciate the seriousness of the defendant's offense because it involved a breach of the public trust under chapters 27 and 30 </w:t>
      </w:r>
      <w:r>
        <w:rPr>
          <w:u w:val="single"/>
        </w:rPr>
        <w:t>of this title</w:t>
      </w:r>
      <w:r>
        <w:t xml:space="preserve">, or the defendant took advantage of a position of trust or confidence to commit the offense;  </w:t>
      </w:r>
    </w:p>
    <w:p w:rsidR="009245F0" w:rsidRDefault="009245F0" w:rsidP="009245F0">
      <w:r>
        <w:tab/>
        <w:t>(5)</w:t>
      </w:r>
      <w:r>
        <w:tab/>
        <w:t xml:space="preserve">There is a substantial likelihood that the defendant is involved in organized criminal activity;  </w:t>
      </w:r>
    </w:p>
    <w:p w:rsidR="009245F0" w:rsidRDefault="009245F0" w:rsidP="009245F0">
      <w:r>
        <w:tab/>
        <w:t>(6)</w:t>
      </w:r>
      <w:r>
        <w:tab/>
        <w:t xml:space="preserve">The extent of the defendant's prior criminal record and the seriousness of the offenses of which </w:t>
      </w:r>
      <w:r w:rsidRPr="00BF20CC">
        <w:rPr>
          <w:rFonts w:ascii="Albertus Extra Bold" w:hAnsi="Albertus Extra Bold"/>
          <w:b/>
        </w:rPr>
        <w:t>[</w:t>
      </w:r>
      <w:r>
        <w:t>he</w:t>
      </w:r>
      <w:r w:rsidRPr="00BF20CC">
        <w:rPr>
          <w:rFonts w:ascii="Albertus Extra Bold" w:hAnsi="Albertus Extra Bold"/>
          <w:b/>
        </w:rPr>
        <w:t>]</w:t>
      </w:r>
      <w:r>
        <w:t xml:space="preserve"> </w:t>
      </w:r>
      <w:r>
        <w:rPr>
          <w:u w:val="single"/>
        </w:rPr>
        <w:t xml:space="preserve">the </w:t>
      </w:r>
      <w:r w:rsidRPr="00695D9B">
        <w:rPr>
          <w:u w:val="single"/>
        </w:rPr>
        <w:t>defendant</w:t>
      </w:r>
      <w:r>
        <w:t xml:space="preserve"> </w:t>
      </w:r>
      <w:r w:rsidRPr="00BF20CC">
        <w:t>has</w:t>
      </w:r>
      <w:r>
        <w:t xml:space="preserve"> been convicted;  </w:t>
      </w:r>
    </w:p>
    <w:p w:rsidR="009245F0" w:rsidRDefault="009245F0" w:rsidP="009245F0">
      <w:r>
        <w:tab/>
        <w:t>(7)</w:t>
      </w:r>
      <w:r>
        <w:tab/>
        <w:t xml:space="preserve">The defendant committed the offense pursuant to an agreement </w:t>
      </w:r>
      <w:r w:rsidRPr="00BF20CC">
        <w:rPr>
          <w:rFonts w:ascii="Albertus Extra Bold" w:hAnsi="Albertus Extra Bold"/>
          <w:b/>
        </w:rPr>
        <w:t>[</w:t>
      </w:r>
      <w:r>
        <w:t>that he</w:t>
      </w:r>
      <w:r w:rsidRPr="00BF20CC">
        <w:rPr>
          <w:rFonts w:ascii="Albertus Extra Bold" w:hAnsi="Albertus Extra Bold"/>
          <w:b/>
        </w:rPr>
        <w:t>]</w:t>
      </w:r>
      <w:r>
        <w:t xml:space="preserve"> </w:t>
      </w:r>
      <w:r>
        <w:rPr>
          <w:u w:val="single"/>
        </w:rPr>
        <w:t>to</w:t>
      </w:r>
      <w:r>
        <w:t xml:space="preserve"> either pay or be paid for the commission of the offense and the pecuniary incentive was beyond that inherent in the offense itself;  </w:t>
      </w:r>
    </w:p>
    <w:p w:rsidR="009245F0" w:rsidRDefault="009245F0" w:rsidP="009245F0">
      <w:r>
        <w:tab/>
        <w:t>(8)</w:t>
      </w:r>
      <w:r>
        <w:tab/>
        <w:t xml:space="preserve">The defendant committed the offense against a police or other law enforcement officer, correctional employee or </w:t>
      </w:r>
      <w:r w:rsidRPr="00E6049F">
        <w:rPr>
          <w:rFonts w:ascii="Albertus Extra Bold" w:hAnsi="Albertus Extra Bold"/>
          <w:b/>
        </w:rPr>
        <w:t>[</w:t>
      </w:r>
      <w:r>
        <w:t>fireman</w:t>
      </w:r>
      <w:r w:rsidRPr="00E6049F">
        <w:rPr>
          <w:rFonts w:ascii="Albertus Extra Bold" w:hAnsi="Albertus Extra Bold"/>
          <w:b/>
        </w:rPr>
        <w:t>]</w:t>
      </w:r>
      <w:r>
        <w:t xml:space="preserve"> </w:t>
      </w:r>
      <w:r>
        <w:rPr>
          <w:u w:val="single"/>
        </w:rPr>
        <w:t>firefighter</w:t>
      </w:r>
      <w:r>
        <w:t xml:space="preserve">, acting in the performance of </w:t>
      </w:r>
      <w:r w:rsidRPr="00695D9B">
        <w:rPr>
          <w:rFonts w:ascii="Albertus Extra Bold" w:hAnsi="Albertus Extra Bold"/>
          <w:b/>
        </w:rPr>
        <w:t>[</w:t>
      </w:r>
      <w:r>
        <w:t>his</w:t>
      </w:r>
      <w:r w:rsidRPr="00695D9B">
        <w:rPr>
          <w:rFonts w:ascii="Albertus Extra Bold" w:hAnsi="Albertus Extra Bold"/>
          <w:b/>
        </w:rPr>
        <w:t>]</w:t>
      </w:r>
      <w:r>
        <w:t xml:space="preserve"> </w:t>
      </w:r>
      <w:r>
        <w:rPr>
          <w:u w:val="single"/>
        </w:rPr>
        <w:t>the officer, employee, or firefighter</w:t>
      </w:r>
      <w:r>
        <w:t xml:space="preserve"> </w:t>
      </w:r>
      <w:r w:rsidRPr="00695D9B">
        <w:t>duties</w:t>
      </w:r>
      <w:r>
        <w:t xml:space="preserve">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w:t>
      </w:r>
      <w:r w:rsidRPr="00695D9B">
        <w:rPr>
          <w:rFonts w:ascii="Albertus Extra Bold" w:hAnsi="Albertus Extra Bold"/>
          <w:b/>
        </w:rPr>
        <w:t>[</w:t>
      </w:r>
      <w:r>
        <w:t>his</w:t>
      </w:r>
      <w:r w:rsidRPr="00695D9B">
        <w:rPr>
          <w:rFonts w:ascii="Albertus Extra Bold" w:hAnsi="Albertus Extra Bold"/>
          <w:b/>
        </w:rPr>
        <w:t>]</w:t>
      </w:r>
      <w:r>
        <w:t xml:space="preserve"> </w:t>
      </w:r>
      <w:r>
        <w:rPr>
          <w:u w:val="single"/>
        </w:rPr>
        <w:t>the person’s</w:t>
      </w:r>
      <w:r>
        <w:t xml:space="preserve"> duties or because of the person's status as a sports official, coach or manager;  </w:t>
      </w:r>
    </w:p>
    <w:p w:rsidR="009245F0" w:rsidRDefault="009245F0" w:rsidP="009245F0">
      <w:r>
        <w:lastRenderedPageBreak/>
        <w:tab/>
        <w:t>(9)</w:t>
      </w:r>
      <w:r>
        <w:tab/>
        <w:t xml:space="preserve">The need for deterring the defendant and others from violating the law;  </w:t>
      </w:r>
    </w:p>
    <w:p w:rsidR="009245F0" w:rsidRDefault="009245F0" w:rsidP="004B3276">
      <w:pPr>
        <w:tabs>
          <w:tab w:val="clear" w:pos="720"/>
          <w:tab w:val="left" w:pos="900"/>
        </w:tabs>
      </w:pPr>
      <w:r>
        <w:tab/>
        <w:t>(10)</w:t>
      </w:r>
      <w:r w:rsidR="004B3276">
        <w:tab/>
      </w:r>
      <w:r>
        <w:t xml:space="preserve">The offense involved fraudulent or deceptive practices committed against any department or division of State government;  </w:t>
      </w:r>
    </w:p>
    <w:p w:rsidR="009245F0" w:rsidRDefault="009245F0" w:rsidP="004B3276">
      <w:pPr>
        <w:tabs>
          <w:tab w:val="clear" w:pos="720"/>
          <w:tab w:val="left" w:pos="900"/>
        </w:tabs>
      </w:pPr>
      <w:r>
        <w:tab/>
        <w:t>(11)</w:t>
      </w:r>
      <w:r w:rsidR="004B3276">
        <w:tab/>
      </w:r>
      <w:r>
        <w:t>The imposition of a fine, penalty</w:t>
      </w:r>
      <w:r w:rsidRPr="00E6049F">
        <w:rPr>
          <w:u w:val="single"/>
        </w:rPr>
        <w:t>,</w:t>
      </w:r>
      <w:r>
        <w:t xml:space="preserve">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9245F0" w:rsidRDefault="009245F0" w:rsidP="004B3276">
      <w:pPr>
        <w:tabs>
          <w:tab w:val="clear" w:pos="720"/>
          <w:tab w:val="left" w:pos="900"/>
        </w:tabs>
      </w:pPr>
      <w:r>
        <w:tab/>
        <w:t>(12)</w:t>
      </w:r>
      <w:r w:rsidR="004B3276">
        <w:tab/>
      </w:r>
      <w:r>
        <w:t xml:space="preserve">The defendant committed the offense against a person who </w:t>
      </w:r>
      <w:r w:rsidRPr="00695D9B">
        <w:rPr>
          <w:rFonts w:ascii="Albertus Extra Bold" w:hAnsi="Albertus Extra Bold"/>
          <w:b/>
        </w:rPr>
        <w:t>[</w:t>
      </w:r>
      <w:r>
        <w:t>he</w:t>
      </w:r>
      <w:r w:rsidRPr="00695D9B">
        <w:rPr>
          <w:rFonts w:ascii="Albertus Extra Bold" w:hAnsi="Albertus Extra Bold"/>
          <w:b/>
        </w:rPr>
        <w:t>]</w:t>
      </w:r>
      <w:r>
        <w:t xml:space="preserve"> </w:t>
      </w:r>
      <w:r>
        <w:rPr>
          <w:u w:val="single"/>
        </w:rPr>
        <w:t>the defendant</w:t>
      </w:r>
      <w:r>
        <w:t xml:space="preserve"> knew or should have known was 60 years of age or older, or disabled;  </w:t>
      </w:r>
    </w:p>
    <w:p w:rsidR="009245F0" w:rsidRDefault="009245F0" w:rsidP="004B3276">
      <w:pPr>
        <w:tabs>
          <w:tab w:val="clear" w:pos="720"/>
          <w:tab w:val="left" w:pos="900"/>
        </w:tabs>
      </w:pPr>
      <w:r>
        <w:tab/>
        <w:t>(13)</w:t>
      </w:r>
      <w:r w:rsidR="004B3276">
        <w:tab/>
      </w:r>
      <w:r>
        <w:t xml:space="preserve">The defendant, while in the course of committing or attempting to commit the crime, including the immediate flight therefrom, used or was in possession of a stolen motor vehicle;  </w:t>
      </w:r>
    </w:p>
    <w:p w:rsidR="009245F0" w:rsidRDefault="009245F0" w:rsidP="004B3276">
      <w:pPr>
        <w:tabs>
          <w:tab w:val="clear" w:pos="720"/>
          <w:tab w:val="left" w:pos="900"/>
        </w:tabs>
      </w:pPr>
      <w:r>
        <w:tab/>
        <w:t>(14)</w:t>
      </w:r>
      <w:r w:rsidR="004B3276">
        <w:tab/>
      </w:r>
      <w:r>
        <w:t xml:space="preserve">The offense involved an act of domestic violence, as that term is defined in subsection a. of section 3 of P.L.1991, c. 261 (C.2C:25-19), committed in the presence of a child under 16 years of age; and  </w:t>
      </w:r>
    </w:p>
    <w:p w:rsidR="009245F0" w:rsidRDefault="009245F0" w:rsidP="004B3276">
      <w:pPr>
        <w:tabs>
          <w:tab w:val="clear" w:pos="720"/>
          <w:tab w:val="left" w:pos="900"/>
        </w:tabs>
      </w:pPr>
      <w:r>
        <w:tab/>
        <w:t>(15)</w:t>
      </w:r>
      <w:r w:rsidR="004B3276">
        <w:tab/>
      </w:r>
      <w:r>
        <w:t xml:space="preserve">The offense involved an act of domestic violence, as that term is defined in subsection a. of section 3 of P.L.1991, c. 261 (C.2C:25-19) and the defendant committed at least one act of domestic violence on more than one occasion.  </w:t>
      </w:r>
    </w:p>
    <w:p w:rsidR="009245F0" w:rsidRDefault="009245F0" w:rsidP="009245F0">
      <w:r>
        <w:tab/>
      </w:r>
      <w:r w:rsidR="004B3276">
        <w:t xml:space="preserve"> </w:t>
      </w:r>
      <w:r>
        <w:t>b.</w:t>
      </w:r>
      <w:r>
        <w:tab/>
        <w:t xml:space="preserve">In determining the appropriate sentence to be imposed on a person who has been convicted of an offense, the court may properly consider the following mitigating circumstances:  </w:t>
      </w:r>
    </w:p>
    <w:p w:rsidR="009245F0" w:rsidRDefault="009245F0" w:rsidP="009245F0">
      <w:r>
        <w:tab/>
        <w:t>(1)</w:t>
      </w:r>
      <w:r>
        <w:tab/>
        <w:t xml:space="preserve">The defendant's conduct neither caused nor threatened serious harm;  </w:t>
      </w:r>
    </w:p>
    <w:p w:rsidR="009245F0" w:rsidRDefault="009245F0" w:rsidP="009245F0">
      <w:r>
        <w:tab/>
        <w:t>(2)</w:t>
      </w:r>
      <w:r>
        <w:tab/>
        <w:t xml:space="preserve">The defendant did not contemplate that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conduct would cause or threaten serious harm;  </w:t>
      </w:r>
    </w:p>
    <w:p w:rsidR="009245F0" w:rsidRDefault="009245F0" w:rsidP="009245F0">
      <w:r>
        <w:tab/>
        <w:t>(3)</w:t>
      </w:r>
      <w:r>
        <w:tab/>
        <w:t xml:space="preserve">The defendant acted under a strong provocation;  </w:t>
      </w:r>
    </w:p>
    <w:p w:rsidR="009245F0" w:rsidRDefault="009245F0" w:rsidP="009245F0">
      <w:r>
        <w:tab/>
        <w:t>(4)</w:t>
      </w:r>
      <w:r>
        <w:tab/>
        <w:t xml:space="preserve">There were substantial grounds tending to excuse or justify the defendant's conduct, though failing to establish a defense;  </w:t>
      </w:r>
    </w:p>
    <w:p w:rsidR="009245F0" w:rsidRDefault="009245F0" w:rsidP="009245F0">
      <w:r>
        <w:tab/>
        <w:t>(5)</w:t>
      </w:r>
      <w:r>
        <w:tab/>
        <w:t xml:space="preserve">The victim of the defendant's conduct induced or facilitated its commission;  </w:t>
      </w:r>
    </w:p>
    <w:p w:rsidR="009245F0" w:rsidRDefault="009245F0" w:rsidP="009245F0">
      <w:r>
        <w:tab/>
        <w:t>(6)</w:t>
      </w:r>
      <w:r>
        <w:tab/>
        <w:t xml:space="preserve">The defendant has compensated or will compensate the victim of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conduct for the damage or injury that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victim</w:t>
      </w:r>
      <w:r>
        <w:t xml:space="preserve"> sustained, or will participate in a program of community service; </w:t>
      </w:r>
    </w:p>
    <w:p w:rsidR="009245F0" w:rsidRDefault="009245F0" w:rsidP="009245F0">
      <w:r>
        <w:tab/>
        <w:t>(7)</w:t>
      </w:r>
      <w:r>
        <w:tab/>
        <w:t xml:space="preserve">The defendant has no history of prior delinquency or criminal activity or has led a law-abiding life for a substantial period of time before the commission of the present offense;  </w:t>
      </w:r>
    </w:p>
    <w:p w:rsidR="009245F0" w:rsidRDefault="009245F0" w:rsidP="009245F0">
      <w:r>
        <w:tab/>
        <w:t>(8)</w:t>
      </w:r>
      <w:r>
        <w:tab/>
        <w:t xml:space="preserve">The defendant's conduct was the result of circumstances unlikely to recur;  </w:t>
      </w:r>
    </w:p>
    <w:p w:rsidR="009245F0" w:rsidRDefault="009245F0" w:rsidP="009245F0">
      <w:r>
        <w:tab/>
        <w:t>(9)</w:t>
      </w:r>
      <w:r>
        <w:tab/>
        <w:t xml:space="preserve">The character and attitude of the defendant indicate that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defendant</w:t>
      </w:r>
      <w:r>
        <w:t xml:space="preserve"> is unlikely to commit another offense;  </w:t>
      </w:r>
    </w:p>
    <w:p w:rsidR="009245F0" w:rsidRDefault="009245F0" w:rsidP="004B3276">
      <w:pPr>
        <w:tabs>
          <w:tab w:val="clear" w:pos="720"/>
          <w:tab w:val="left" w:pos="900"/>
        </w:tabs>
      </w:pPr>
      <w:r>
        <w:lastRenderedPageBreak/>
        <w:tab/>
        <w:t>(10)</w:t>
      </w:r>
      <w:r w:rsidR="004B3276">
        <w:tab/>
      </w:r>
      <w:r>
        <w:t xml:space="preserve">The defendant is particularly likely to respond affirmatively to probationary treatment;  </w:t>
      </w:r>
    </w:p>
    <w:p w:rsidR="009245F0" w:rsidRDefault="009245F0" w:rsidP="004B3276">
      <w:pPr>
        <w:tabs>
          <w:tab w:val="clear" w:pos="720"/>
          <w:tab w:val="left" w:pos="900"/>
        </w:tabs>
      </w:pPr>
      <w:r>
        <w:tab/>
        <w:t>(11)</w:t>
      </w:r>
      <w:r w:rsidR="004B3276">
        <w:tab/>
      </w:r>
      <w:r>
        <w:t xml:space="preserve">The imprisonment of the defendant would entail excessive hardship to </w:t>
      </w:r>
      <w:r w:rsidRPr="00BD7B77">
        <w:rPr>
          <w:rFonts w:ascii="Albertus Extra Bold" w:hAnsi="Albertus Extra Bold"/>
          <w:b/>
        </w:rPr>
        <w:t>[</w:t>
      </w:r>
      <w:r>
        <w:t>himself</w:t>
      </w:r>
      <w:r w:rsidRPr="00BD7B77">
        <w:rPr>
          <w:rFonts w:ascii="Albertus Extra Bold" w:hAnsi="Albertus Extra Bold"/>
          <w:b/>
        </w:rPr>
        <w:t>]</w:t>
      </w:r>
      <w:r>
        <w:t xml:space="preserve"> </w:t>
      </w:r>
      <w:r>
        <w:rPr>
          <w:u w:val="single"/>
        </w:rPr>
        <w:t>the defendant</w:t>
      </w:r>
      <w:r>
        <w:t xml:space="preserve"> or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dependents;  </w:t>
      </w:r>
    </w:p>
    <w:p w:rsidR="009245F0" w:rsidRDefault="009245F0" w:rsidP="004B3276">
      <w:pPr>
        <w:tabs>
          <w:tab w:val="clear" w:pos="720"/>
          <w:tab w:val="left" w:pos="900"/>
        </w:tabs>
      </w:pPr>
      <w:r>
        <w:tab/>
        <w:t>(12)</w:t>
      </w:r>
      <w:r w:rsidR="004B3276">
        <w:tab/>
      </w:r>
      <w:r>
        <w:t xml:space="preserve">The willingness of the defendant to cooperate with law enforcement authorities;  </w:t>
      </w:r>
    </w:p>
    <w:p w:rsidR="009245F0" w:rsidRDefault="009245F0" w:rsidP="004B3276">
      <w:pPr>
        <w:tabs>
          <w:tab w:val="clear" w:pos="720"/>
          <w:tab w:val="left" w:pos="900"/>
        </w:tabs>
      </w:pPr>
      <w:r>
        <w:tab/>
        <w:t>(13)</w:t>
      </w:r>
      <w:r w:rsidR="004B3276">
        <w:tab/>
      </w:r>
      <w:r>
        <w:t xml:space="preserve">The conduct of a youthful defendant was substantially influenced by another person more mature than the defendant </w:t>
      </w:r>
      <w:r>
        <w:rPr>
          <w:u w:val="single"/>
        </w:rPr>
        <w:t>; and</w:t>
      </w:r>
    </w:p>
    <w:p w:rsidR="009245F0" w:rsidRDefault="009245F0" w:rsidP="004B3276">
      <w:pPr>
        <w:tabs>
          <w:tab w:val="clear" w:pos="720"/>
          <w:tab w:val="left" w:pos="900"/>
        </w:tabs>
      </w:pPr>
      <w:r>
        <w:tab/>
      </w:r>
      <w:r>
        <w:rPr>
          <w:u w:val="single"/>
        </w:rPr>
        <w:t>(14)</w:t>
      </w:r>
      <w:r w:rsidR="004B3276">
        <w:rPr>
          <w:u w:val="single"/>
        </w:rPr>
        <w:tab/>
      </w:r>
      <w:r>
        <w:rPr>
          <w:u w:val="single"/>
        </w:rPr>
        <w:t>The defendant was under 26 years of age at the time of the commission of the offense</w:t>
      </w:r>
      <w:r>
        <w:t xml:space="preserve">.   </w:t>
      </w:r>
    </w:p>
    <w:p w:rsidR="009245F0" w:rsidRDefault="009245F0" w:rsidP="009245F0">
      <w:r>
        <w:tab/>
      </w:r>
      <w:r w:rsidR="004B3276">
        <w:t xml:space="preserve"> </w:t>
      </w:r>
      <w:r>
        <w:t>c.</w:t>
      </w:r>
      <w:r w:rsidR="004B3276">
        <w:tab/>
      </w:r>
      <w:r>
        <w:t xml:space="preserve">(1) </w:t>
      </w:r>
      <w:r w:rsidR="004B3276">
        <w:t xml:space="preserve"> </w:t>
      </w:r>
      <w:r>
        <w:t xml:space="preserve">A plea of guilty by a defendant or failure to so plead shall not be considered in withholding or imposing a sentence of imprisonment. </w:t>
      </w:r>
    </w:p>
    <w:p w:rsidR="009245F0" w:rsidRDefault="009245F0" w:rsidP="009245F0">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9245F0" w:rsidRDefault="009245F0" w:rsidP="009245F0">
      <w:r>
        <w:tab/>
      </w:r>
      <w:r w:rsidR="004B3276">
        <w:t xml:space="preserve"> </w:t>
      </w:r>
      <w:r>
        <w:t>d.</w:t>
      </w:r>
      <w:r>
        <w:tab/>
        <w:t>Presumption of imprisonment.  The court shall deal with a person who has been convicted of a crime of the first or second degree, or a crime of the third degree where the court finds that the aggravating factor in paragraph (5), (14)</w:t>
      </w:r>
      <w:r>
        <w:rPr>
          <w:u w:val="single"/>
        </w:rPr>
        <w:t>,</w:t>
      </w:r>
      <w:r>
        <w:t xml:space="preserve"> or (15) of subsection a. </w:t>
      </w:r>
      <w:r w:rsidRPr="00683C87">
        <w:rPr>
          <w:u w:val="single"/>
        </w:rPr>
        <w:t>of this section</w:t>
      </w:r>
      <w:r>
        <w:t xml:space="preserve"> applies, by imposing a sentence of imprisonment unless, having regard to the character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w:t>
      </w:r>
      <w:r w:rsidRPr="009703DD">
        <w:rPr>
          <w:u w:val="single"/>
        </w:rPr>
        <w:t>the defendant’s</w:t>
      </w:r>
      <w:r>
        <w:t xml:space="preserve"> </w:t>
      </w:r>
      <w:r w:rsidRPr="00683C87">
        <w:t>imprisonment</w:t>
      </w:r>
      <w:r>
        <w:t xml:space="preserve">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imprisonment would be a serious injustice which overrides the need to deter such conduct by others.   </w:t>
      </w:r>
    </w:p>
    <w:p w:rsidR="009245F0" w:rsidRDefault="009245F0" w:rsidP="009245F0">
      <w:r>
        <w:tab/>
      </w:r>
      <w:r w:rsidR="004B3276">
        <w:t xml:space="preserve"> </w:t>
      </w:r>
      <w:r>
        <w:t>e.</w:t>
      </w:r>
      <w:r>
        <w:tab/>
        <w:t>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w:t>
      </w:r>
      <w:r>
        <w:rPr>
          <w:u w:val="single"/>
        </w:rPr>
        <w:t>,</w:t>
      </w:r>
      <w:r>
        <w:t xml:space="preserve">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imprisonment is necessary for the protection of the public under the criteria set forth in subsection a. </w:t>
      </w:r>
      <w:r w:rsidRPr="00683C87">
        <w:rPr>
          <w:u w:val="single"/>
        </w:rPr>
        <w:t>of this section</w:t>
      </w:r>
      <w:r>
        <w:t xml:space="preserve">, except that this subsection shall not apply if the court finds that the aggravating factor in paragraph (5), (14) or (15) of subsection a. </w:t>
      </w:r>
      <w:r w:rsidRPr="00683C87">
        <w:rPr>
          <w:u w:val="single"/>
        </w:rPr>
        <w:t>of this section</w:t>
      </w:r>
      <w:r>
        <w:t xml:space="preserve"> applies or if the person is convicted of any of the following crimes of the third degree: theft of a motor vehicle; unlawful taking of a motor vehicle; eluding; strict liability vehicular homicide pursuant </w:t>
      </w:r>
      <w:r>
        <w:lastRenderedPageBreak/>
        <w:t xml:space="preserve">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9245F0" w:rsidRDefault="009245F0" w:rsidP="009245F0">
      <w:r>
        <w:tab/>
      </w:r>
      <w:r w:rsidR="004B3276">
        <w:t xml:space="preserve"> </w:t>
      </w:r>
      <w:r>
        <w:t>f.</w:t>
      </w:r>
      <w:r>
        <w:tab/>
        <w:t xml:space="preserve">Presumptive Sentences. (1) Except for the crime of murder, unless the preponderance of aggravating or mitigating factors, as set forth in subsections a. and b. </w:t>
      </w:r>
      <w:r w:rsidRPr="00683C87">
        <w:rPr>
          <w:u w:val="single"/>
        </w:rPr>
        <w:t>of this section</w:t>
      </w:r>
      <w:r>
        <w:t xml:space="preserve">, weighs in favor of a higher or lower term within the limits provided in N.J.S.2C:43-6, when a court determines that a sentence of imprisonment is warranted, it shall impose sentence as follows:  </w:t>
      </w:r>
    </w:p>
    <w:p w:rsidR="009245F0" w:rsidRDefault="009245F0" w:rsidP="009245F0">
      <w:r>
        <w:tab/>
        <w:t>(a)</w:t>
      </w:r>
      <w:r>
        <w:tab/>
        <w:t xml:space="preserve">To a term of 20 years for aggravated manslaughter or kidnapping pursuant to paragraph (1) of subsection c. of N.J.S.2C:13-1 when the offense constitutes a crime of the first degree;  </w:t>
      </w:r>
    </w:p>
    <w:p w:rsidR="009245F0" w:rsidRDefault="009245F0" w:rsidP="009245F0">
      <w:r>
        <w:tab/>
        <w:t>(b)</w:t>
      </w:r>
      <w:r>
        <w:tab/>
        <w:t xml:space="preserve">Except as provided in subparagraph (a) of this paragraph to a term of 15 years for a crime of the first degree;  </w:t>
      </w:r>
    </w:p>
    <w:p w:rsidR="009245F0" w:rsidRDefault="009245F0" w:rsidP="009245F0">
      <w:r>
        <w:tab/>
        <w:t>(c)</w:t>
      </w:r>
      <w:r>
        <w:tab/>
        <w:t xml:space="preserve">To a term of seven years for a crime of the second degree;  </w:t>
      </w:r>
    </w:p>
    <w:p w:rsidR="009245F0" w:rsidRDefault="009245F0" w:rsidP="009245F0">
      <w:r>
        <w:tab/>
        <w:t>(d)</w:t>
      </w:r>
      <w:r>
        <w:tab/>
        <w:t xml:space="preserve">To a term of four years for a crime of the third degree; and  </w:t>
      </w:r>
    </w:p>
    <w:p w:rsidR="009245F0" w:rsidRDefault="009245F0" w:rsidP="009245F0">
      <w:r>
        <w:tab/>
        <w:t>(e)</w:t>
      </w:r>
      <w:r>
        <w:tab/>
        <w:t xml:space="preserve">To a term of nine months for a crime of the fourth degree. </w:t>
      </w:r>
    </w:p>
    <w:p w:rsidR="009245F0" w:rsidRDefault="009245F0" w:rsidP="009245F0">
      <w:r>
        <w:tab/>
        <w:t xml:space="preserve">In imposing a minimum term pursuant to subsection b. of N.J.S.2C:43-6, the sentencing court shall specifically place on the record the aggravating factors set forth in this section which justify the imposition of a minimum term. </w:t>
      </w:r>
    </w:p>
    <w:p w:rsidR="009245F0" w:rsidRDefault="009245F0" w:rsidP="009245F0">
      <w:r>
        <w:tab/>
        <w:t xml:space="preserve">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t>
      </w:r>
      <w:r w:rsidRPr="00683C87">
        <w:rPr>
          <w:u w:val="single"/>
        </w:rPr>
        <w:t>of this section</w:t>
      </w:r>
      <w:r>
        <w:t xml:space="preserve">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 </w:t>
      </w:r>
    </w:p>
    <w:p w:rsidR="009245F0" w:rsidRDefault="009245F0" w:rsidP="009245F0">
      <w:r>
        <w:lastRenderedPageBreak/>
        <w:tab/>
        <w:t xml:space="preserve">In imposing a minimum term pursuant to subsection b. of N.J.S.2C:43-7, the sentencing court shall specifically place on the record the aggravating factors set forth in this section which justify the imposition of a minimum term. </w:t>
      </w:r>
    </w:p>
    <w:p w:rsidR="009245F0" w:rsidRDefault="009245F0" w:rsidP="009245F0">
      <w:r>
        <w:tab/>
        <w:t>(2)</w:t>
      </w:r>
      <w:r>
        <w:tab/>
        <w:t xml:space="preserve">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defendant</w:t>
      </w:r>
      <w:r>
        <w:t xml:space="preserve"> was convicted.  If the court does impose sentence pursuant to this paragraph, or if the court imposes a noncustodial or probationary sentence upon conviction for a crime of the first or second degree, </w:t>
      </w:r>
      <w:r w:rsidRPr="00BD7B77">
        <w:rPr>
          <w:rFonts w:ascii="Albertus Extra Bold" w:hAnsi="Albertus Extra Bold"/>
          <w:b/>
        </w:rPr>
        <w:t>[</w:t>
      </w:r>
      <w:r>
        <w:t>such</w:t>
      </w:r>
      <w:r w:rsidRPr="00BD7B77">
        <w:rPr>
          <w:rFonts w:ascii="Albertus Extra Bold" w:hAnsi="Albertus Extra Bold"/>
          <w:b/>
        </w:rPr>
        <w:t>]</w:t>
      </w:r>
      <w:r>
        <w:t xml:space="preserve"> </w:t>
      </w:r>
      <w:r>
        <w:rPr>
          <w:u w:val="single"/>
        </w:rPr>
        <w:t>the</w:t>
      </w:r>
      <w:r>
        <w:t xml:space="preserve"> sentence shall not become final for 10 days in order to permit the appeal of </w:t>
      </w:r>
      <w:r w:rsidRPr="00BD7B77">
        <w:rPr>
          <w:rFonts w:ascii="Albertus Extra Bold" w:hAnsi="Albertus Extra Bold"/>
          <w:b/>
        </w:rPr>
        <w:t>[</w:t>
      </w:r>
      <w:r>
        <w:t>such</w:t>
      </w:r>
      <w:r w:rsidRPr="00BD7B77">
        <w:rPr>
          <w:rFonts w:ascii="Albertus Extra Bold" w:hAnsi="Albertus Extra Bold"/>
          <w:b/>
        </w:rPr>
        <w:t>]</w:t>
      </w:r>
      <w:r>
        <w:t xml:space="preserve"> </w:t>
      </w:r>
      <w:r>
        <w:rPr>
          <w:u w:val="single"/>
        </w:rPr>
        <w:t>the</w:t>
      </w:r>
      <w:r>
        <w:t xml:space="preserve"> sentence by the prosecution. </w:t>
      </w:r>
    </w:p>
    <w:p w:rsidR="009245F0" w:rsidRDefault="009245F0" w:rsidP="009245F0">
      <w:r>
        <w:tab/>
        <w:t>g.</w:t>
      </w:r>
      <w:r>
        <w:tab/>
        <w:t xml:space="preserve">Imposition of Noncustodial Sentences in Certain Cases.  If the court, in considering the aggravating factors set forth in subsection a. </w:t>
      </w:r>
      <w:r w:rsidRPr="00F52C66">
        <w:rPr>
          <w:u w:val="single"/>
        </w:rPr>
        <w:t>of this section</w:t>
      </w:r>
      <w:r>
        <w:t xml:space="preserve">, finds the aggravating factor in paragraph (2), (5), (10), or (12) of subsection a. </w:t>
      </w:r>
      <w:r>
        <w:rPr>
          <w:u w:val="single"/>
        </w:rPr>
        <w:t xml:space="preserve">of this </w:t>
      </w:r>
      <w:r w:rsidRPr="00F52C66">
        <w:rPr>
          <w:u w:val="single"/>
        </w:rPr>
        <w:t>section</w:t>
      </w:r>
      <w:r>
        <w:t xml:space="preserve"> </w:t>
      </w:r>
      <w:r w:rsidRPr="00F52C66">
        <w:t>and</w:t>
      </w:r>
      <w:r>
        <w:t xml:space="preserve"> does not impose a custodial sentence, the court shall specifically place on the record the mitigating factors which justify the imposition of a noncustodial sentence. </w:t>
      </w:r>
    </w:p>
    <w:p w:rsidR="009245F0" w:rsidRDefault="009245F0" w:rsidP="009245F0">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9245F0" w:rsidRDefault="009245F0" w:rsidP="009245F0">
      <w:r>
        <w:t>(</w:t>
      </w:r>
      <w:proofErr w:type="spellStart"/>
      <w:r>
        <w:t>cf</w:t>
      </w:r>
      <w:proofErr w:type="spellEnd"/>
      <w:r>
        <w:t>: P.L.2017, c.165, s.6)</w:t>
      </w:r>
    </w:p>
    <w:p w:rsidR="009245F0" w:rsidRPr="00D71D68" w:rsidRDefault="009245F0" w:rsidP="009245F0"/>
    <w:p w:rsidR="009245F0" w:rsidRPr="00AA7880" w:rsidRDefault="009245F0" w:rsidP="009245F0">
      <w:r>
        <w:tab/>
        <w:t>2.</w:t>
      </w:r>
      <w:r w:rsidR="004B3276">
        <w:tab/>
      </w:r>
      <w:r>
        <w:t>This act shall take effect immediately.</w:t>
      </w:r>
    </w:p>
    <w:p w:rsidR="009245F0" w:rsidRDefault="009245F0" w:rsidP="009245F0"/>
    <w:p w:rsidR="009245F0" w:rsidRPr="00CE7BD8" w:rsidRDefault="009245F0" w:rsidP="009245F0"/>
    <w:p w:rsidR="009245F0" w:rsidRPr="00AA7880" w:rsidRDefault="009245F0" w:rsidP="009245F0">
      <w:pPr>
        <w:jc w:val="center"/>
      </w:pPr>
      <w:r w:rsidRPr="00D71D68">
        <w:t>STATEMENT</w:t>
      </w:r>
    </w:p>
    <w:p w:rsidR="009245F0" w:rsidRDefault="009245F0" w:rsidP="009245F0"/>
    <w:p w:rsidR="009245F0" w:rsidRDefault="009245F0" w:rsidP="009245F0">
      <w:r>
        <w:tab/>
        <w:t>This bill provides the court with discretion to consider the age of a youthful defendant as a mitigating factor during sentencing.</w:t>
      </w:r>
    </w:p>
    <w:p w:rsidR="009245F0" w:rsidRDefault="009245F0" w:rsidP="009245F0">
      <w:r>
        <w:tab/>
        <w:t>Current law provides 13 mitigating factors that the court may consider when sentencing a defendant.  The only mitigating factor related to the age of a youthful defendant permits the court to consider whether the defendant’s conduct was substantially influenced by another, more mature person. Under the bill’s provisions, the court would be permitted broadly to consider as a mitigating factor whether a defendant was under the age of 26 when an offense was committed.</w:t>
      </w:r>
    </w:p>
    <w:sectPr w:rsidR="009245F0" w:rsidSect="00AF26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A89" w:rsidRDefault="002B1A89">
      <w:r>
        <w:separator/>
      </w:r>
    </w:p>
  </w:endnote>
  <w:endnote w:type="continuationSeparator" w:id="0">
    <w:p w:rsidR="002B1A89" w:rsidRDefault="002B1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87A" w:rsidRDefault="009528DF" w:rsidP="009528D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27E" w:rsidRPr="00921C91" w:rsidRDefault="008522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227E" w:rsidRPr="00921C91" w:rsidRDefault="0085227E">
    <w:pPr>
      <w:pStyle w:val="Footer"/>
      <w:rPr>
        <w:szCs w:val="18"/>
      </w:rPr>
    </w:pPr>
  </w:p>
  <w:p w:rsidR="0085227E" w:rsidRPr="00921C91" w:rsidRDefault="008522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A89" w:rsidRDefault="002B1A89">
      <w:r>
        <w:separator/>
      </w:r>
    </w:p>
  </w:footnote>
  <w:footnote w:type="continuationSeparator" w:id="0">
    <w:p w:rsidR="002B1A89" w:rsidRDefault="002B1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00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6B1" w:rsidRDefault="00AF26B1" w:rsidP="00AF26B1">
    <w:pPr>
      <w:pStyle w:val="bpuHeadSpon"/>
    </w:pPr>
    <w:r w:rsidRPr="00AF26B1">
      <w:rPr>
        <w:rStyle w:val="bpuHeadSponChar"/>
      </w:rPr>
      <w:t>S2592</w:t>
    </w:r>
    <w:r>
      <w:t xml:space="preserve"> POU</w:t>
    </w:r>
    <w:r w:rsidR="00B61192">
      <w:t xml:space="preserve">, </w:t>
    </w:r>
    <w:r w:rsidR="00B61192">
      <w:t>TURNER</w:t>
    </w:r>
  </w:p>
  <w:p w:rsidR="00AF26B1" w:rsidRDefault="00AF26B1" w:rsidP="00AF26B1">
    <w:pPr>
      <w:pStyle w:val="bpuHeadSpon"/>
    </w:pPr>
    <w:r>
      <w:fldChar w:fldCharType="begin"/>
    </w:r>
    <w:r>
      <w:instrText xml:space="preserve"> PAGE  \* MERGEFORMAT </w:instrText>
    </w:r>
    <w:r>
      <w:fldChar w:fldCharType="separate"/>
    </w:r>
    <w:r w:rsidR="00B30011">
      <w:rPr>
        <w:noProof/>
      </w:rPr>
      <w:t>6</w:t>
    </w:r>
    <w:r>
      <w:fldChar w:fldCharType="end"/>
    </w:r>
  </w:p>
  <w:p w:rsidR="00AF26B1" w:rsidRDefault="00AF26B1" w:rsidP="00AF26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6B1" w:rsidRDefault="00AF26B1" w:rsidP="00AF26B1">
    <w:pPr>
      <w:pStyle w:val="bpuHeadSpon"/>
    </w:pPr>
    <w:r w:rsidRPr="00AF26B1">
      <w:rPr>
        <w:rStyle w:val="bpuHeadSponChar"/>
      </w:rPr>
      <w:t>S2592</w:t>
    </w:r>
    <w:r>
      <w:t xml:space="preserve"> POU</w:t>
    </w:r>
    <w:r w:rsidR="00B61192">
      <w:t xml:space="preserve">, </w:t>
    </w:r>
    <w:r w:rsidR="00B61192">
      <w:t>TURNER</w:t>
    </w:r>
  </w:p>
  <w:p w:rsidR="00AF26B1" w:rsidRDefault="00AF26B1" w:rsidP="00AF26B1">
    <w:pPr>
      <w:pStyle w:val="bpuHeadSpon"/>
    </w:pPr>
    <w:r>
      <w:fldChar w:fldCharType="begin"/>
    </w:r>
    <w:r>
      <w:instrText xml:space="preserve"> PAGE  \* MERGEFORMAT </w:instrText>
    </w:r>
    <w:r>
      <w:fldChar w:fldCharType="separate"/>
    </w:r>
    <w:r w:rsidR="00B30011">
      <w:rPr>
        <w:noProof/>
      </w:rPr>
      <w:t>2</w:t>
    </w:r>
    <w:r>
      <w:fldChar w:fldCharType="end"/>
    </w:r>
  </w:p>
  <w:p w:rsidR="00AF26B1" w:rsidRDefault="00AF26B1" w:rsidP="00AF26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EF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A89"/>
    <w:rsid w:val="002B2E26"/>
    <w:rsid w:val="002B3FE6"/>
    <w:rsid w:val="002C2D81"/>
    <w:rsid w:val="002C461E"/>
    <w:rsid w:val="002C49DB"/>
    <w:rsid w:val="002C6CEC"/>
    <w:rsid w:val="002E09CE"/>
    <w:rsid w:val="002E69D1"/>
    <w:rsid w:val="002F3BA6"/>
    <w:rsid w:val="00315320"/>
    <w:rsid w:val="00324E3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C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7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62E"/>
    <w:rsid w:val="00572184"/>
    <w:rsid w:val="00577A15"/>
    <w:rsid w:val="00580533"/>
    <w:rsid w:val="0059131D"/>
    <w:rsid w:val="005A33CE"/>
    <w:rsid w:val="005B3F92"/>
    <w:rsid w:val="005B479C"/>
    <w:rsid w:val="005B5412"/>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B3D"/>
    <w:rsid w:val="00813627"/>
    <w:rsid w:val="00832816"/>
    <w:rsid w:val="00837109"/>
    <w:rsid w:val="00840365"/>
    <w:rsid w:val="008406A3"/>
    <w:rsid w:val="00841D2C"/>
    <w:rsid w:val="00845F3C"/>
    <w:rsid w:val="008461B8"/>
    <w:rsid w:val="008462F1"/>
    <w:rsid w:val="00847EF1"/>
    <w:rsid w:val="0085227E"/>
    <w:rsid w:val="008538FA"/>
    <w:rsid w:val="0085687A"/>
    <w:rsid w:val="008573B0"/>
    <w:rsid w:val="0086545B"/>
    <w:rsid w:val="00866563"/>
    <w:rsid w:val="00867AC2"/>
    <w:rsid w:val="0087056E"/>
    <w:rsid w:val="00875402"/>
    <w:rsid w:val="00884D51"/>
    <w:rsid w:val="008916EC"/>
    <w:rsid w:val="00891E4F"/>
    <w:rsid w:val="008A31C5"/>
    <w:rsid w:val="008A4F9A"/>
    <w:rsid w:val="008B2850"/>
    <w:rsid w:val="008C79B3"/>
    <w:rsid w:val="008D77BD"/>
    <w:rsid w:val="008E2242"/>
    <w:rsid w:val="008E454C"/>
    <w:rsid w:val="008F1E5A"/>
    <w:rsid w:val="00901BDA"/>
    <w:rsid w:val="009121D8"/>
    <w:rsid w:val="00916F7A"/>
    <w:rsid w:val="00917FE3"/>
    <w:rsid w:val="009245F0"/>
    <w:rsid w:val="009318C7"/>
    <w:rsid w:val="00931C09"/>
    <w:rsid w:val="009348C2"/>
    <w:rsid w:val="009440D0"/>
    <w:rsid w:val="009523A3"/>
    <w:rsid w:val="009528D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E1F"/>
    <w:rsid w:val="00A50F6B"/>
    <w:rsid w:val="00A52237"/>
    <w:rsid w:val="00A551D6"/>
    <w:rsid w:val="00A6251B"/>
    <w:rsid w:val="00A6342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6B1"/>
    <w:rsid w:val="00B0116D"/>
    <w:rsid w:val="00B01173"/>
    <w:rsid w:val="00B02F35"/>
    <w:rsid w:val="00B05A3C"/>
    <w:rsid w:val="00B07100"/>
    <w:rsid w:val="00B1138C"/>
    <w:rsid w:val="00B2574A"/>
    <w:rsid w:val="00B30011"/>
    <w:rsid w:val="00B35D8A"/>
    <w:rsid w:val="00B45B34"/>
    <w:rsid w:val="00B57047"/>
    <w:rsid w:val="00B6119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519"/>
    <w:rsid w:val="00C328D0"/>
    <w:rsid w:val="00C46BC1"/>
    <w:rsid w:val="00C5235F"/>
    <w:rsid w:val="00C54CE2"/>
    <w:rsid w:val="00C63A0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73"/>
    <w:rsid w:val="00CE78BF"/>
    <w:rsid w:val="00CF65EB"/>
    <w:rsid w:val="00CF72AD"/>
    <w:rsid w:val="00D02441"/>
    <w:rsid w:val="00D037E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D9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39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BFE465"/>
  <w15:docId w15:val="{D3704DF9-A7C7-4CDD-8305-55BDB970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26B1"/>
  </w:style>
  <w:style w:type="paragraph" w:styleId="BalloonText">
    <w:name w:val="Balloon Text"/>
    <w:basedOn w:val="Normal"/>
    <w:link w:val="BalloonTextChar"/>
    <w:semiHidden/>
    <w:unhideWhenUsed/>
    <w:rsid w:val="00DB1D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D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2168</Words>
  <Characters>11137</Characters>
  <Application>Microsoft Office Word</Application>
  <DocSecurity>0</DocSecurity>
  <Lines>259</Lines>
  <Paragraphs>70</Paragraphs>
  <ScaleCrop>false</ScaleCrop>
  <HeadingPairs>
    <vt:vector size="2" baseType="variant">
      <vt:variant>
        <vt:lpstr>Title</vt:lpstr>
      </vt:variant>
      <vt:variant>
        <vt:i4>1</vt:i4>
      </vt:variant>
    </vt:vector>
  </HeadingPairs>
  <TitlesOfParts>
    <vt:vector size="1" baseType="lpstr">
      <vt:lpstr>S2592</vt:lpstr>
    </vt:vector>
  </TitlesOfParts>
  <Manager>R224</Manager>
  <Company>NJ Office of Legislative Services</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S2592</dc:title>
  <dc:subject/>
  <dc:creator>Senator  POU</dc:creator>
  <cp:keywords>S2592|6|LP |253|92|276|N|0|</cp:keywords>
  <dc:description>INTRODUCED JUNE 22, 2020</dc:description>
  <cp:lastModifiedBy>Todaro, Vivian</cp:lastModifiedBy>
  <cp:revision>2</cp:revision>
  <cp:lastPrinted>2020-08-31T17:27:00Z</cp:lastPrinted>
  <dcterms:created xsi:type="dcterms:W3CDTF">2020-08-31T17:27:00Z</dcterms:created>
  <dcterms:modified xsi:type="dcterms:W3CDTF">2020-08-31T17:27:00Z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