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B2BE2"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B2BE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2592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B2BE2">
        <w:rPr>
          <w:caps/>
          <w:szCs w:val="24"/>
        </w:rPr>
        <w:t>AUGUST 24, 2020</w:t>
      </w:r>
    </w:p>
    <w:p w:rsidR="004144CF" w:rsidRDefault="004144CF" w:rsidP="0083060A"/>
    <w:p w:rsidR="00F1291B" w:rsidRDefault="00F1291B" w:rsidP="00F1291B">
      <w:r>
        <w:tab/>
        <w:t>The Senate Judiciary Committee reports favorably Senate Bill No. 2592.</w:t>
      </w:r>
    </w:p>
    <w:p w:rsidR="00792C4F" w:rsidRDefault="00792C4F" w:rsidP="00792C4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92C4F">
        <w:rPr>
          <w:spacing w:val="4"/>
          <w:szCs w:val="24"/>
        </w:rPr>
        <w:tab/>
      </w:r>
      <w:r w:rsidR="009A26D5">
        <w:t xml:space="preserve">This bill would </w:t>
      </w:r>
      <w:r w:rsidR="008621B4">
        <w:t xml:space="preserve">provide for the consideration of youth as a mitigating factor for criminal sentencing, based on Recommendation 5 </w:t>
      </w:r>
      <w:r w:rsidR="009A26D5">
        <w:t xml:space="preserve">contained in the first annual report of the New Jersey Criminal Sentencing and Disposition Commission (the CSDC), created by P.L.2009, c.81 (C.2C:48A-1 et seq.) but delayed in being constituted and actively reviewing the State’s sentencing laws.  </w:t>
      </w:r>
      <w:r w:rsidR="009A26D5">
        <w:rPr>
          <w:spacing w:val="4"/>
          <w:szCs w:val="24"/>
        </w:rPr>
        <w:t>The</w:t>
      </w:r>
      <w:r w:rsidRPr="00792C4F">
        <w:rPr>
          <w:spacing w:val="4"/>
          <w:szCs w:val="24"/>
        </w:rPr>
        <w:t xml:space="preserve"> bill </w:t>
      </w:r>
      <w:r w:rsidR="00FA1B28">
        <w:rPr>
          <w:spacing w:val="4"/>
          <w:szCs w:val="24"/>
        </w:rPr>
        <w:t xml:space="preserve">would provide a </w:t>
      </w:r>
      <w:r w:rsidRPr="00792C4F">
        <w:rPr>
          <w:spacing w:val="4"/>
          <w:szCs w:val="24"/>
        </w:rPr>
        <w:t xml:space="preserve">court with </w:t>
      </w:r>
      <w:r w:rsidR="00FA1B28">
        <w:rPr>
          <w:spacing w:val="4"/>
          <w:szCs w:val="24"/>
        </w:rPr>
        <w:t xml:space="preserve">the authority to </w:t>
      </w:r>
      <w:r w:rsidRPr="00792C4F">
        <w:rPr>
          <w:spacing w:val="4"/>
          <w:szCs w:val="24"/>
        </w:rPr>
        <w:t xml:space="preserve">consider </w:t>
      </w:r>
      <w:r w:rsidR="00FA1B28">
        <w:rPr>
          <w:spacing w:val="4"/>
          <w:szCs w:val="24"/>
        </w:rPr>
        <w:t xml:space="preserve">as a mitigating factor that </w:t>
      </w:r>
      <w:r w:rsidR="00FA1B28" w:rsidRPr="00792C4F">
        <w:rPr>
          <w:spacing w:val="4"/>
          <w:szCs w:val="24"/>
        </w:rPr>
        <w:t xml:space="preserve">the </w:t>
      </w:r>
      <w:r w:rsidR="00FA1B28">
        <w:rPr>
          <w:spacing w:val="4"/>
          <w:szCs w:val="24"/>
        </w:rPr>
        <w:t xml:space="preserve">defendant was under 26 years of age at the time the defendant committed the offense when determining the appropriate sentence to be imposed.  This would broaden the court’s consideration of age as a mitigating factor for determining sentences, as current law only permits </w:t>
      </w:r>
      <w:r w:rsidR="003B5252">
        <w:rPr>
          <w:spacing w:val="4"/>
          <w:szCs w:val="24"/>
        </w:rPr>
        <w:t xml:space="preserve">as a </w:t>
      </w:r>
      <w:r w:rsidR="00FA1B28">
        <w:rPr>
          <w:spacing w:val="4"/>
          <w:szCs w:val="24"/>
        </w:rPr>
        <w:t>mitigating factor directly related to age</w:t>
      </w:r>
      <w:r w:rsidR="003B5252">
        <w:rPr>
          <w:spacing w:val="4"/>
          <w:szCs w:val="24"/>
        </w:rPr>
        <w:t xml:space="preserve"> whether a “youthful defendant was substantially influenced” by a more mature person.</w:t>
      </w:r>
    </w:p>
    <w:p w:rsidR="004B2ABF" w:rsidRDefault="005075AF" w:rsidP="00AD18E6">
      <w:r>
        <w:rPr>
          <w:spacing w:val="4"/>
          <w:szCs w:val="24"/>
        </w:rPr>
        <w:tab/>
        <w:t>This bill as reported is identical to Assembly Bill No. 4373, also reported today by the committee.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2BE2" w:rsidRDefault="00BB2BE2">
      <w:r>
        <w:separator/>
      </w:r>
    </w:p>
  </w:endnote>
  <w:endnote w:type="continuationSeparator" w:id="0">
    <w:p w:rsidR="00BB2BE2" w:rsidRDefault="00BB2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2BE2" w:rsidRDefault="00BB2BE2">
      <w:r>
        <w:separator/>
      </w:r>
    </w:p>
  </w:footnote>
  <w:footnote w:type="continuationSeparator" w:id="0">
    <w:p w:rsidR="00BB2BE2" w:rsidRDefault="00BB2B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D18E6" w:rsidP="00AD18E6">
    <w:pPr>
      <w:pStyle w:val="HeaderPage2"/>
      <w:jc w:val="center"/>
    </w:pPr>
    <w:r>
      <w:fldChar w:fldCharType="begin"/>
    </w:r>
    <w:r>
      <w:instrText xml:space="preserve"> PAGE  \* MERGEFORMAT </w:instrText>
    </w:r>
    <w:r>
      <w:fldChar w:fldCharType="separate"/>
    </w:r>
    <w:r>
      <w:rPr>
        <w:noProof/>
      </w:rPr>
      <w:t>2</w:t>
    </w:r>
    <w:r>
      <w:fldChar w:fldCharType="end"/>
    </w:r>
  </w:p>
  <w:p w:rsidR="00AD18E6" w:rsidRDefault="00AD18E6" w:rsidP="00AD18E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BE2"/>
    <w:rsid w:val="00010CB9"/>
    <w:rsid w:val="000123C0"/>
    <w:rsid w:val="00015342"/>
    <w:rsid w:val="00020580"/>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5252"/>
    <w:rsid w:val="003B6728"/>
    <w:rsid w:val="003B74FA"/>
    <w:rsid w:val="003C33AC"/>
    <w:rsid w:val="003C7607"/>
    <w:rsid w:val="003E50B9"/>
    <w:rsid w:val="003F13C1"/>
    <w:rsid w:val="003F6DD9"/>
    <w:rsid w:val="00400B15"/>
    <w:rsid w:val="00403D4F"/>
    <w:rsid w:val="00407CE2"/>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75AF"/>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2C4F"/>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21B4"/>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26D5"/>
    <w:rsid w:val="009A48E4"/>
    <w:rsid w:val="009A6AC9"/>
    <w:rsid w:val="009B1B63"/>
    <w:rsid w:val="009B5DEA"/>
    <w:rsid w:val="009B724F"/>
    <w:rsid w:val="009C078B"/>
    <w:rsid w:val="009C300A"/>
    <w:rsid w:val="009C37F1"/>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1B6D"/>
    <w:rsid w:val="00A654F0"/>
    <w:rsid w:val="00A65CE7"/>
    <w:rsid w:val="00A76504"/>
    <w:rsid w:val="00A863ED"/>
    <w:rsid w:val="00A92210"/>
    <w:rsid w:val="00A92973"/>
    <w:rsid w:val="00A92EFB"/>
    <w:rsid w:val="00AA4F86"/>
    <w:rsid w:val="00AA5E23"/>
    <w:rsid w:val="00AB47F2"/>
    <w:rsid w:val="00AC62AE"/>
    <w:rsid w:val="00AD18E6"/>
    <w:rsid w:val="00AD5E8F"/>
    <w:rsid w:val="00AF0946"/>
    <w:rsid w:val="00AF15E4"/>
    <w:rsid w:val="00AF1DF1"/>
    <w:rsid w:val="00AF6E68"/>
    <w:rsid w:val="00B01A5A"/>
    <w:rsid w:val="00B02537"/>
    <w:rsid w:val="00B07B1C"/>
    <w:rsid w:val="00B1015F"/>
    <w:rsid w:val="00B1280B"/>
    <w:rsid w:val="00B15315"/>
    <w:rsid w:val="00B205BC"/>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2BE2"/>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176"/>
    <w:rsid w:val="00ED5E27"/>
    <w:rsid w:val="00EE2498"/>
    <w:rsid w:val="00EE49E4"/>
    <w:rsid w:val="00EE62FC"/>
    <w:rsid w:val="00EE6D25"/>
    <w:rsid w:val="00EF0439"/>
    <w:rsid w:val="00EF52FC"/>
    <w:rsid w:val="00F1291B"/>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1B28"/>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7945DE63-0DB3-47A4-BA7D-41879770A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129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129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179</Words>
  <Characters>964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S2592 SJU Statement AUGUST 24, 2020</vt:lpstr>
    </vt:vector>
  </TitlesOfParts>
  <Manager>R211</Manager>
  <Company>NJ OLS DMU</Company>
  <LinksUpToDate>false</LinksUpToDate>
  <CharactersWithSpaces>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S2592 SJU Statement 8/24/20</dc:title>
  <dc:subject/>
  <dc:creator>Senate SJU</dc:creator>
  <cp:keywords>S2592|1|JU |196|0|0|!||</cp:keywords>
  <dc:description/>
  <cp:lastModifiedBy>Sommers, Shelly</cp:lastModifiedBy>
  <cp:revision>2</cp:revision>
  <cp:lastPrinted>2020-08-26T16:25:00Z</cp:lastPrinted>
  <dcterms:created xsi:type="dcterms:W3CDTF">2020-08-26T16:29:00Z</dcterms:created>
  <dcterms:modified xsi:type="dcterms:W3CDTF">2020-08-26T16:29:00Z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