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8C5FE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2691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C5FED">
        <w:t>Senate Floor Amendments</w:t>
      </w:r>
    </w:p>
    <w:p w:rsidR="00DA6F1D" w:rsidRDefault="008C5FED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C5FED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C5FED" w:rsidRDefault="008C5FED" w:rsidP="008C5FED"/>
    <w:p w:rsidR="008C5FED" w:rsidRPr="00DA6F1D" w:rsidRDefault="008C5FED" w:rsidP="00A74B07">
      <w:r>
        <w:tab/>
        <w:t>These Senate amendments omit section 1 of the bill concerning the anticipation of miscellaneous revenue in local unit budgets.  The amendments also permit a school district to maintain a surplus of four percent of its budgeted general fund for the 2021-2022 school year and make a technical change to the effective date of the bill.</w:t>
      </w:r>
    </w:p>
    <w:sectPr w:rsidR="008C5FE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4C76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A2093"/>
    <w:rsid w:val="008C5FED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380E5C9-DE3F-4897-9EC9-80576794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378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S2691 Senate OCTOBER 29, 2020</vt:lpstr>
    </vt:vector>
  </TitlesOfParts>
  <Manager>R229</Manager>
  <Company>Office of Legislative Services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S2691 Senate Statement 10/29/20</dc:title>
  <dc:subject/>
  <dc:creator>Senate</dc:creator>
  <cp:keywords>S2691|1|ER |316|0|0|!||</cp:keywords>
  <dc:description/>
  <cp:lastModifiedBy>Bell, Careema</cp:lastModifiedBy>
  <cp:revision>2</cp:revision>
  <dcterms:created xsi:type="dcterms:W3CDTF">2020-10-30T18:02:00Z</dcterms:created>
  <dcterms:modified xsi:type="dcterms:W3CDTF">2020-10-30T18:02:00Z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