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9A141" w14:textId="475C1949" w:rsidR="006652B4" w:rsidRDefault="006652B4" w:rsidP="006652B4">
      <w:pPr>
        <w:pStyle w:val="bpuReprint"/>
      </w:pPr>
      <w:bookmarkStart w:id="0" w:name="bpuFrontPg"/>
      <w:bookmarkStart w:id="1" w:name="_GoBack"/>
      <w:bookmarkEnd w:id="0"/>
      <w:bookmarkEnd w:id="1"/>
      <w:r>
        <w:t>[First Reprint]</w:t>
      </w:r>
    </w:p>
    <w:p w14:paraId="13E9818F" w14:textId="29082469" w:rsidR="00AA2602" w:rsidRDefault="00AA2602" w:rsidP="00AA2602">
      <w:pPr>
        <w:pStyle w:val="bpuBill"/>
      </w:pPr>
      <w:r>
        <w:t xml:space="preserve">SENATE, No. 2786 </w:t>
      </w:r>
    </w:p>
    <w:p w14:paraId="189399FF" w14:textId="773840CA" w:rsidR="00AA2602" w:rsidRPr="009D38FF" w:rsidRDefault="00AA2602" w:rsidP="00AA2602">
      <w:pPr>
        <w:pStyle w:val="bpuWpGraphic"/>
      </w:pPr>
      <w:r>
        <w:object w:dxaOrig="8985" w:dyaOrig="255" w14:anchorId="718786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52028" r:id="rId8"/>
        </w:object>
      </w:r>
    </w:p>
    <w:p w14:paraId="37BD0FD9" w14:textId="77777777" w:rsidR="00AA2602" w:rsidRDefault="00AA2602" w:rsidP="00AA2602">
      <w:pPr>
        <w:pStyle w:val="bpuState"/>
      </w:pPr>
      <w:r>
        <w:t>STATE OF NEW JERSEY</w:t>
      </w:r>
    </w:p>
    <w:p w14:paraId="556065A0" w14:textId="77777777" w:rsidR="00AA2602" w:rsidRDefault="00AA2602" w:rsidP="00AA2602">
      <w:pPr>
        <w:pStyle w:val="bpuLegislature"/>
      </w:pPr>
      <w:r>
        <w:t>219th LEGISLATURE</w:t>
      </w:r>
    </w:p>
    <w:p w14:paraId="4D7DC773" w14:textId="7E6F5A87" w:rsidR="00AA2602" w:rsidRDefault="00AA2602" w:rsidP="00AA2602">
      <w:pPr>
        <w:pStyle w:val="bpuWpGraphic"/>
      </w:pPr>
      <w:r>
        <w:object w:dxaOrig="8985" w:dyaOrig="255" w14:anchorId="6E278D94">
          <v:shape id="_x0000_i1026" type="#_x0000_t75" style="width:6in;height:12pt" o:ole="">
            <v:imagedata r:id="rId7" o:title=""/>
          </v:shape>
          <o:OLEObject Type="Embed" ProgID="WPWin6.1" ShapeID="_x0000_i1026" DrawAspect="Content" ObjectID="_1660552029" r:id="rId9"/>
        </w:object>
      </w:r>
      <w:r>
        <w:t xml:space="preserve">  </w:t>
      </w:r>
    </w:p>
    <w:p w14:paraId="464A2DB3" w14:textId="77777777" w:rsidR="00AA2602" w:rsidRDefault="00AA2602" w:rsidP="00AA2602">
      <w:pPr>
        <w:pStyle w:val="bpuIntro"/>
      </w:pPr>
      <w:r>
        <w:t>INTRODUCED JULY 30, 2020</w:t>
      </w:r>
    </w:p>
    <w:p w14:paraId="6530C951" w14:textId="77777777" w:rsidR="00AA2602" w:rsidRDefault="00AA2602" w:rsidP="00AA2602">
      <w:pPr>
        <w:pStyle w:val="bpuIntro"/>
      </w:pPr>
    </w:p>
    <w:p w14:paraId="17CD77FB" w14:textId="77777777" w:rsidR="00AA2602" w:rsidRDefault="00AA2602" w:rsidP="00AA2602">
      <w:pPr>
        <w:pStyle w:val="bpuIntro"/>
        <w:sectPr w:rsidR="00AA2602" w:rsidSect="0011050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0690DD3" w14:textId="77777777" w:rsidR="00AA2602" w:rsidRDefault="00AA2602" w:rsidP="00AA2602">
      <w:pPr>
        <w:pStyle w:val="bpuIntro"/>
      </w:pPr>
    </w:p>
    <w:p w14:paraId="17280624" w14:textId="77777777" w:rsidR="00AA2602" w:rsidRDefault="00AA2602" w:rsidP="00AA2602">
      <w:pPr>
        <w:pStyle w:val="bpuSponsor"/>
      </w:pPr>
      <w:r>
        <w:t>Sponsored by:</w:t>
      </w:r>
    </w:p>
    <w:p w14:paraId="239CF81F" w14:textId="77777777" w:rsidR="00AA2602" w:rsidRDefault="00AA2602" w:rsidP="00AA2602">
      <w:pPr>
        <w:pStyle w:val="bpuSponsor"/>
      </w:pPr>
      <w:r>
        <w:t>Senator  LORETTA WEINBERG</w:t>
      </w:r>
    </w:p>
    <w:p w14:paraId="6B121B69" w14:textId="77777777" w:rsidR="00AA2602" w:rsidRDefault="00AA2602" w:rsidP="00AA2602">
      <w:pPr>
        <w:pStyle w:val="bpuSponsor"/>
      </w:pPr>
      <w:r>
        <w:t>District 37 (Bergen)</w:t>
      </w:r>
    </w:p>
    <w:p w14:paraId="49A788F6" w14:textId="4A5595F7" w:rsidR="00AA2602" w:rsidRDefault="00883206" w:rsidP="00883206">
      <w:pPr>
        <w:pStyle w:val="bpuSponsor"/>
      </w:pPr>
      <w:r>
        <w:t>Senator  LINDA R. GREENSTEIN</w:t>
      </w:r>
    </w:p>
    <w:p w14:paraId="5066F1FB" w14:textId="6B5CB9DF" w:rsidR="00883206" w:rsidRDefault="00883206" w:rsidP="00883206">
      <w:pPr>
        <w:pStyle w:val="bpuSponsor"/>
      </w:pPr>
      <w:r>
        <w:t>District 14 (Mercer and Middlesex)</w:t>
      </w:r>
    </w:p>
    <w:p w14:paraId="5F53A263" w14:textId="77777777" w:rsidR="00883206" w:rsidRPr="00883206" w:rsidRDefault="00883206" w:rsidP="00883206">
      <w:pPr>
        <w:pStyle w:val="bpuSponsor"/>
      </w:pPr>
    </w:p>
    <w:p w14:paraId="5B0ED11A" w14:textId="3B1ED974" w:rsidR="00AA2602" w:rsidRDefault="0011050B" w:rsidP="0011050B">
      <w:pPr>
        <w:pStyle w:val="bpuSponsor"/>
      </w:pPr>
      <w:r>
        <w:t>Co-Sponsored by:</w:t>
      </w:r>
    </w:p>
    <w:p w14:paraId="2989060B" w14:textId="08B991BE" w:rsidR="0011050B" w:rsidRPr="0011050B" w:rsidRDefault="0011050B" w:rsidP="0011050B">
      <w:pPr>
        <w:pStyle w:val="bpuSponsor"/>
      </w:pPr>
      <w:r w:rsidRPr="0011050B">
        <w:t xml:space="preserve">Senators </w:t>
      </w:r>
      <w:proofErr w:type="spellStart"/>
      <w:r w:rsidRPr="0011050B">
        <w:t>Pou</w:t>
      </w:r>
      <w:proofErr w:type="spellEnd"/>
      <w:r w:rsidRPr="0011050B">
        <w:t>, Ruiz and Turner</w:t>
      </w:r>
    </w:p>
    <w:p w14:paraId="4E72B048" w14:textId="21AC219F" w:rsidR="00AA2602" w:rsidRDefault="00AA2602" w:rsidP="00AA2602">
      <w:pPr>
        <w:pStyle w:val="bpuSponsor"/>
      </w:pPr>
    </w:p>
    <w:p w14:paraId="6392A31C" w14:textId="0B884B8E" w:rsidR="0011050B" w:rsidRDefault="0011050B" w:rsidP="0011050B"/>
    <w:p w14:paraId="06C74D06" w14:textId="77777777" w:rsidR="0011050B" w:rsidRPr="0011050B" w:rsidRDefault="0011050B" w:rsidP="0011050B"/>
    <w:p w14:paraId="081FD903" w14:textId="77777777" w:rsidR="00AA2602" w:rsidRDefault="00AA2602" w:rsidP="00AA2602">
      <w:pPr>
        <w:pStyle w:val="bpuSponsor"/>
      </w:pPr>
    </w:p>
    <w:p w14:paraId="314AA235" w14:textId="77777777" w:rsidR="00AA2602" w:rsidRDefault="00AA2602" w:rsidP="00AA2602">
      <w:pPr>
        <w:pStyle w:val="bpuSponsor"/>
      </w:pPr>
      <w:r>
        <w:t>SYNOPSIS</w:t>
      </w:r>
    </w:p>
    <w:p w14:paraId="02055918" w14:textId="77777777" w:rsidR="00AA2602" w:rsidRDefault="00AA2602" w:rsidP="00AA2602">
      <w:pPr>
        <w:pStyle w:val="bpuNormText"/>
      </w:pPr>
      <w:r>
        <w:tab/>
        <w:t xml:space="preserve">Allows long-term care facility employees to accrue paid sick leave. </w:t>
      </w:r>
    </w:p>
    <w:p w14:paraId="4CF31889" w14:textId="77777777" w:rsidR="00AA2602" w:rsidRDefault="00AA2602" w:rsidP="00AA2602">
      <w:pPr>
        <w:pStyle w:val="bpuNormText"/>
      </w:pPr>
    </w:p>
    <w:p w14:paraId="2FEF17E3" w14:textId="77777777" w:rsidR="00AA2602" w:rsidRDefault="00AA2602" w:rsidP="00AA2602">
      <w:pPr>
        <w:pStyle w:val="bpuSponsor"/>
      </w:pPr>
      <w:r>
        <w:t xml:space="preserve">CURRENT VERSION OF TEXT </w:t>
      </w:r>
    </w:p>
    <w:p w14:paraId="497E1DB7" w14:textId="633A9015" w:rsidR="00AA2602" w:rsidRDefault="006652B4" w:rsidP="00AA2602">
      <w:pPr>
        <w:pStyle w:val="bpuNormText"/>
      </w:pPr>
      <w:r>
        <w:tab/>
        <w:t>As reported by the Senate Health, Human Services and Senior Citizens Committee on August 25, 2020, with amendments.</w:t>
      </w:r>
    </w:p>
    <w:p w14:paraId="46AC3273" w14:textId="0646C98E" w:rsidR="00AA2602" w:rsidRDefault="00AA2602" w:rsidP="00AA2602">
      <w:pPr>
        <w:pStyle w:val="bpuNormText"/>
      </w:pPr>
      <w:r>
        <w:rPr>
          <w:noProof/>
        </w:rPr>
        <w:drawing>
          <wp:anchor distT="0" distB="0" distL="114300" distR="114300" simplePos="0" relativeHeight="251659264" behindDoc="1" locked="0" layoutInCell="1" allowOverlap="1" wp14:anchorId="64AEF86B" wp14:editId="0229389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B3B3B1" w14:textId="77777777" w:rsidR="00AA2602" w:rsidRDefault="00AA2602" w:rsidP="008916EC">
      <w:pPr>
        <w:pStyle w:val="FronterPage"/>
        <w:tabs>
          <w:tab w:val="clear" w:pos="720"/>
          <w:tab w:val="clear" w:pos="1440"/>
          <w:tab w:val="clear" w:pos="2160"/>
          <w:tab w:val="clear" w:pos="2880"/>
          <w:tab w:val="clear" w:pos="3600"/>
          <w:tab w:val="clear" w:pos="4320"/>
          <w:tab w:val="clear" w:pos="5040"/>
        </w:tabs>
        <w:sectPr w:rsidR="00AA2602" w:rsidSect="00AA2602">
          <w:type w:val="continuous"/>
          <w:pgSz w:w="12240" w:h="20160" w:code="5"/>
          <w:pgMar w:top="1440" w:right="2275" w:bottom="1440" w:left="2275" w:header="72" w:footer="720" w:gutter="0"/>
          <w:pgNumType w:start="1"/>
          <w:cols w:space="720"/>
          <w:docGrid w:linePitch="360"/>
        </w:sectPr>
      </w:pPr>
    </w:p>
    <w:p w14:paraId="10C37388" w14:textId="572E086C"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B844E3">
        <w:t>concerning long-term care facility staff and amending P.L.2018, c.10.</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3EFBCCC2"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1.</w:t>
      </w:r>
      <w:r w:rsidRPr="006652B4">
        <w:rPr>
          <w:spacing w:val="0"/>
        </w:rPr>
        <w:tab/>
        <w:t>Section 1 of P.L.2018, c.10 (C.34:11D-1) is amended to read as follows:</w:t>
      </w:r>
    </w:p>
    <w:p w14:paraId="5CEB076A"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1.</w:t>
      </w:r>
      <w:r w:rsidRPr="006652B4">
        <w:rPr>
          <w:spacing w:val="0"/>
        </w:rPr>
        <w:tab/>
        <w:t xml:space="preserve">For the purposes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w:t>
      </w:r>
    </w:p>
    <w:p w14:paraId="3F885EA6"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 xml:space="preserve">"Benefit year" means the period of 12 consecutive months established by an employer in which an employee shall accrue and use earned sick leave as provided pursuant to section 2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(C.34:11D-2)</w:t>
      </w:r>
      <w:r w:rsidRPr="006652B4">
        <w:rPr>
          <w:spacing w:val="0"/>
        </w:rPr>
        <w:t xml:space="preserve">, provided that once the starting date of the benefit year is established by the employer it shall not be changed unless the employer notifies the commissioner of the change in accordance with regulations promulgated pursuant to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The commissioner shall impose a benefit year on any employer that the commissioner determines is changing the benefit year at times or in ways that prevent the accrual or use of earned sick leave by an employee.</w:t>
      </w:r>
    </w:p>
    <w:p w14:paraId="6DA3EAC8"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"Certified Domestic Violence Specialist" means a person who has fulfilled the requirements of certification as a Domestic Violence Specialist established by the New Jersey Association of Domestic Violence Professionals.</w:t>
      </w:r>
    </w:p>
    <w:p w14:paraId="4472EAC0"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 xml:space="preserve">"Child" means </w:t>
      </w:r>
      <w:r w:rsidRPr="006652B4">
        <w:rPr>
          <w:rFonts w:ascii="Albertus Extra Bold" w:hAnsi="Albertus Extra Bold"/>
          <w:b/>
          <w:vertAlign w:val="superscript"/>
        </w:rPr>
        <w:t>1</w:t>
      </w:r>
      <w:r w:rsidRPr="006652B4">
        <w:rPr>
          <w:rFonts w:ascii="Albertus Extra Bold" w:hAnsi="Albertus Extra Bold"/>
          <w:b/>
        </w:rPr>
        <w:t>[</w:t>
      </w:r>
      <w:r w:rsidRPr="006652B4">
        <w:rPr>
          <w:spacing w:val="0"/>
        </w:rPr>
        <w:t>a</w:t>
      </w:r>
      <w:r w:rsidRPr="006652B4">
        <w:rPr>
          <w:rFonts w:ascii="Albertus Extra Bold" w:hAnsi="Albertus Extra Bold"/>
          <w:b/>
        </w:rPr>
        <w:t>]</w:t>
      </w:r>
      <w:r w:rsidRPr="006652B4">
        <w:rPr>
          <w:spacing w:val="0"/>
        </w:rPr>
        <w:t xml:space="preserve"> </w:t>
      </w:r>
      <w:r w:rsidRPr="006652B4">
        <w:rPr>
          <w:spacing w:val="0"/>
          <w:u w:val="single"/>
        </w:rPr>
        <w:t>any</w:t>
      </w:r>
      <w:r w:rsidRPr="006652B4">
        <w:rPr>
          <w:rFonts w:ascii="Albertus Extra Bold" w:hAnsi="Albertus Extra Bold"/>
          <w:b/>
          <w:vertAlign w:val="superscript"/>
        </w:rPr>
        <w:t>1</w:t>
      </w:r>
      <w:r w:rsidRPr="006652B4">
        <w:rPr>
          <w:spacing w:val="0"/>
        </w:rPr>
        <w:t xml:space="preserve"> biological </w:t>
      </w:r>
      <w:r w:rsidRPr="006652B4">
        <w:rPr>
          <w:rFonts w:ascii="Albertus Extra Bold" w:hAnsi="Albertus Extra Bold"/>
          <w:b/>
          <w:vertAlign w:val="superscript"/>
        </w:rPr>
        <w:t>1</w:t>
      </w:r>
      <w:r w:rsidRPr="006652B4">
        <w:rPr>
          <w:spacing w:val="0"/>
          <w:u w:val="single"/>
        </w:rPr>
        <w:t>child</w:t>
      </w:r>
      <w:r w:rsidRPr="006652B4">
        <w:rPr>
          <w:rFonts w:ascii="Albertus Extra Bold" w:hAnsi="Albertus Extra Bold"/>
          <w:b/>
          <w:vertAlign w:val="superscript"/>
        </w:rPr>
        <w:t>1</w:t>
      </w:r>
      <w:r w:rsidRPr="006652B4">
        <w:rPr>
          <w:spacing w:val="0"/>
        </w:rPr>
        <w:t xml:space="preserve"> , adopted </w:t>
      </w:r>
      <w:r w:rsidRPr="006652B4">
        <w:rPr>
          <w:rFonts w:ascii="Albertus Extra Bold" w:hAnsi="Albertus Extra Bold"/>
          <w:b/>
          <w:vertAlign w:val="superscript"/>
        </w:rPr>
        <w:t>1</w:t>
      </w:r>
      <w:r w:rsidRPr="006652B4">
        <w:rPr>
          <w:spacing w:val="0"/>
          <w:u w:val="single"/>
        </w:rPr>
        <w:t>child</w:t>
      </w:r>
      <w:r w:rsidRPr="006652B4">
        <w:rPr>
          <w:rFonts w:ascii="Albertus Extra Bold" w:hAnsi="Albertus Extra Bold"/>
          <w:b/>
          <w:vertAlign w:val="superscript"/>
        </w:rPr>
        <w:t>1</w:t>
      </w:r>
      <w:r w:rsidRPr="006652B4">
        <w:rPr>
          <w:spacing w:val="0"/>
        </w:rPr>
        <w:t xml:space="preserve"> , </w:t>
      </w:r>
      <w:r w:rsidRPr="006652B4">
        <w:rPr>
          <w:rFonts w:ascii="Albertus Extra Bold" w:hAnsi="Albertus Extra Bold"/>
          <w:b/>
          <w:vertAlign w:val="superscript"/>
        </w:rPr>
        <w:t>1</w:t>
      </w:r>
      <w:r w:rsidRPr="006652B4">
        <w:rPr>
          <w:rFonts w:ascii="Albertus Extra Bold" w:hAnsi="Albertus Extra Bold"/>
          <w:b/>
        </w:rPr>
        <w:t>[</w:t>
      </w:r>
      <w:r w:rsidRPr="006652B4">
        <w:rPr>
          <w:spacing w:val="0"/>
        </w:rPr>
        <w:t>or</w:t>
      </w:r>
      <w:r w:rsidRPr="006652B4">
        <w:rPr>
          <w:rFonts w:ascii="Albertus Extra Bold" w:hAnsi="Albertus Extra Bold"/>
          <w:b/>
        </w:rPr>
        <w:t>]</w:t>
      </w:r>
      <w:r w:rsidRPr="006652B4">
        <w:rPr>
          <w:rFonts w:ascii="Albertus Extra Bold" w:hAnsi="Albertus Extra Bold"/>
          <w:b/>
          <w:vertAlign w:val="superscript"/>
        </w:rPr>
        <w:t>1</w:t>
      </w:r>
      <w:r w:rsidRPr="006652B4">
        <w:rPr>
          <w:spacing w:val="0"/>
        </w:rPr>
        <w:t xml:space="preserve"> foster child, stepchild </w:t>
      </w:r>
      <w:r w:rsidRPr="006652B4">
        <w:rPr>
          <w:rFonts w:ascii="Albertus Extra Bold" w:hAnsi="Albertus Extra Bold"/>
          <w:b/>
          <w:vertAlign w:val="superscript"/>
        </w:rPr>
        <w:t>1</w:t>
      </w:r>
      <w:r w:rsidRPr="006652B4">
        <w:rPr>
          <w:spacing w:val="0"/>
          <w:u w:val="single"/>
        </w:rPr>
        <w:t>,</w:t>
      </w:r>
      <w:r w:rsidRPr="006652B4">
        <w:rPr>
          <w:rFonts w:ascii="Albertus Extra Bold" w:hAnsi="Albertus Extra Bold"/>
          <w:b/>
          <w:vertAlign w:val="superscript"/>
        </w:rPr>
        <w:t>1</w:t>
      </w:r>
      <w:r w:rsidRPr="006652B4">
        <w:rPr>
          <w:spacing w:val="0"/>
        </w:rPr>
        <w:t xml:space="preserve"> or legal ward of an employee, </w:t>
      </w:r>
      <w:r w:rsidRPr="006652B4">
        <w:rPr>
          <w:rFonts w:ascii="Albertus Extra Bold" w:hAnsi="Albertus Extra Bold"/>
          <w:b/>
          <w:vertAlign w:val="superscript"/>
        </w:rPr>
        <w:t>1</w:t>
      </w:r>
      <w:r w:rsidRPr="006652B4">
        <w:rPr>
          <w:spacing w:val="0"/>
          <w:u w:val="single"/>
        </w:rPr>
        <w:t>and any</w:t>
      </w:r>
      <w:r w:rsidRPr="006652B4">
        <w:rPr>
          <w:rFonts w:ascii="Albertus Extra Bold" w:hAnsi="Albertus Extra Bold"/>
          <w:b/>
          <w:vertAlign w:val="superscript"/>
        </w:rPr>
        <w:t>1</w:t>
      </w:r>
      <w:r w:rsidRPr="006652B4">
        <w:rPr>
          <w:spacing w:val="0"/>
        </w:rPr>
        <w:t xml:space="preserve"> child of a domestic partner or civil union partner of </w:t>
      </w:r>
      <w:r w:rsidRPr="006652B4">
        <w:rPr>
          <w:rFonts w:ascii="Albertus Extra Bold" w:hAnsi="Albertus Extra Bold"/>
          <w:b/>
          <w:vertAlign w:val="superscript"/>
        </w:rPr>
        <w:t>1</w:t>
      </w:r>
      <w:r w:rsidRPr="006652B4">
        <w:rPr>
          <w:rFonts w:ascii="Albertus Extra Bold" w:hAnsi="Albertus Extra Bold"/>
          <w:b/>
        </w:rPr>
        <w:t>[</w:t>
      </w:r>
      <w:r w:rsidRPr="006652B4">
        <w:rPr>
          <w:spacing w:val="0"/>
        </w:rPr>
        <w:t>the</w:t>
      </w:r>
      <w:r w:rsidRPr="006652B4">
        <w:rPr>
          <w:rFonts w:ascii="Albertus Extra Bold" w:hAnsi="Albertus Extra Bold"/>
          <w:b/>
        </w:rPr>
        <w:t>]</w:t>
      </w:r>
      <w:r w:rsidRPr="006652B4">
        <w:rPr>
          <w:spacing w:val="0"/>
        </w:rPr>
        <w:t xml:space="preserve"> </w:t>
      </w:r>
      <w:r w:rsidRPr="006652B4">
        <w:rPr>
          <w:spacing w:val="0"/>
          <w:u w:val="single"/>
        </w:rPr>
        <w:t>an</w:t>
      </w:r>
      <w:r w:rsidRPr="006652B4">
        <w:rPr>
          <w:rFonts w:ascii="Albertus Extra Bold" w:hAnsi="Albertus Extra Bold"/>
          <w:b/>
          <w:vertAlign w:val="superscript"/>
        </w:rPr>
        <w:t>1</w:t>
      </w:r>
      <w:r w:rsidRPr="006652B4">
        <w:rPr>
          <w:spacing w:val="0"/>
        </w:rPr>
        <w:t xml:space="preserve"> employee.</w:t>
      </w:r>
    </w:p>
    <w:p w14:paraId="07A49767"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"Civil union" means a civil union as defined in section 2 of P.L.2006, c.103 (C.37:1-29).</w:t>
      </w:r>
    </w:p>
    <w:p w14:paraId="5051011D"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"Commissioner" means the Commissioner of Labor and Workforce Development.</w:t>
      </w:r>
    </w:p>
    <w:p w14:paraId="4EA4A64D"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"Department" means the Department of Labor and Workforce Development.</w:t>
      </w:r>
    </w:p>
    <w:p w14:paraId="1D8CBFFA"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14:paraId="2EFF8A0B" w14:textId="794C9691" w:rsidR="00554D69" w:rsidRDefault="006652B4" w:rsidP="00554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 xml:space="preserve">"Domestic or sexual violence" means stalking, any sexually violent offense, as defined in section 3 of P.L.1998, c.71 (C.30:4-27.26), or </w:t>
      </w:r>
      <w:r w:rsidR="00554D69">
        <w:rPr>
          <w:spacing w:val="0"/>
        </w:rPr>
        <w:br w:type="page"/>
      </w:r>
    </w:p>
    <w:p w14:paraId="3BAD91CB" w14:textId="0E49599D"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lastRenderedPageBreak/>
        <w:t>domestic violence as defined in section 3 of P.L.1991, c.261 (C.2C:25-19) and section 1 of P.L.2003, c.41 (C.17:29B-16).</w:t>
      </w:r>
    </w:p>
    <w:p w14:paraId="0CBEE686"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"Domestic partner" means a domestic partner as defined in section 3 of P.L.2003, c.246 (C.26:8A-3).</w:t>
      </w:r>
    </w:p>
    <w:p w14:paraId="129E6AFD"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"Employee" means an individual engaged in service to an employer in the business of the employer for compensation. "Employee" does not include an employee performing service in the construction industry that is under contract pursuant to a collective bargaining agreement, or a per diem health care employee, or a public employee who is provided with sick leave with full pay pursuant to any other law, rule, or regulation of this State.</w:t>
      </w:r>
    </w:p>
    <w:p w14:paraId="627B2A40"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sick leave with full pay pursuant to any other law, rule or regulation of this State.</w:t>
      </w:r>
    </w:p>
    <w:p w14:paraId="2A10B7E3"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14:paraId="5E6B42C0"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14:paraId="53EC9DEF"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652B4">
        <w:rPr>
          <w:spacing w:val="0"/>
        </w:rPr>
        <w:tab/>
      </w:r>
      <w:r w:rsidRPr="006652B4">
        <w:rPr>
          <w:spacing w:val="0"/>
          <w:u w:val="single"/>
        </w:rPr>
        <w:t>"Long-term care facility" means a nursing home, assisted living residence, comprehensive personal care home, residential health care facility, or dementia care home licensed pursuant to P.L.1971, c.136 (C.26:2H-1 et seq.).</w:t>
      </w:r>
    </w:p>
    <w:p w14:paraId="3773C007"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14:paraId="6E9A9D17"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 xml:space="preserve">"Per diem health care employee" means any: </w:t>
      </w:r>
    </w:p>
    <w:p w14:paraId="3C895F4F"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(1)</w:t>
      </w:r>
      <w:r w:rsidRPr="006652B4">
        <w:rPr>
          <w:spacing w:val="0"/>
        </w:rPr>
        <w:tab/>
        <w:t xml:space="preserve">health care professional licensed in the State of New Jersey employed by a health care facility licensed by the New Jersey Department of Health; </w:t>
      </w:r>
    </w:p>
    <w:p w14:paraId="7D1A3F86"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lastRenderedPageBreak/>
        <w:tab/>
        <w:t>(2)</w:t>
      </w:r>
      <w:r w:rsidRPr="006652B4">
        <w:rPr>
          <w:spacing w:val="0"/>
        </w:rPr>
        <w:tab/>
        <w:t xml:space="preserve">any individual that is in the process of applying to the New Jersey Division of Consumer Affairs for a license to provide health care services who is employed by a health care facility licensed by the New Jersey Department of Health; or </w:t>
      </w:r>
    </w:p>
    <w:p w14:paraId="7303F21C"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(3)</w:t>
      </w:r>
      <w:r w:rsidRPr="006652B4">
        <w:rPr>
          <w:spacing w:val="0"/>
        </w:rPr>
        <w:tab/>
        <w:t>any first aid, rescue or ambulance squad member employed by a hospital system.</w:t>
      </w:r>
    </w:p>
    <w:p w14:paraId="796C14E1"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An employee listed in paragraphs (1), (2), and (3) of this definition shall be considered a per diem health care employee if that employee:</w:t>
      </w:r>
    </w:p>
    <w:p w14:paraId="4269ED8E"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(1)</w:t>
      </w:r>
      <w:r w:rsidRPr="006652B4">
        <w:rPr>
          <w:spacing w:val="0"/>
        </w:rPr>
        <w:tab/>
        <w:t>works on an as-needed basis to supplement a health care employee, or to replace or substitute for a temporarily absent health care employee;</w:t>
      </w:r>
    </w:p>
    <w:p w14:paraId="74CB3720"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(2)</w:t>
      </w:r>
      <w:r w:rsidRPr="006652B4">
        <w:rPr>
          <w:spacing w:val="0"/>
        </w:rPr>
        <w:tab/>
        <w:t>works only when the employee indicates that the employee is available to work, and has no obligation to work when the employee does not indicate availability; and</w:t>
      </w:r>
    </w:p>
    <w:p w14:paraId="330EBEF6"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(3)</w:t>
      </w:r>
      <w:r w:rsidRPr="006652B4">
        <w:rPr>
          <w:spacing w:val="0"/>
        </w:rPr>
        <w:tab/>
        <w:t>either:</w:t>
      </w:r>
    </w:p>
    <w:p w14:paraId="57C0B26A"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(a)</w:t>
      </w:r>
      <w:r w:rsidRPr="006652B4">
        <w:rPr>
          <w:spacing w:val="0"/>
        </w:rPr>
        <w:tab/>
        <w:t xml:space="preserve">has the opportunity for full time or part time employment in their scope of practice under that healthcare provider which offers paid time off benefits greater in length than provided under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xml:space="preserve"> under the terms of employment; or</w:t>
      </w:r>
    </w:p>
    <w:p w14:paraId="16897E8D"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(b)</w:t>
      </w:r>
      <w:r w:rsidRPr="006652B4">
        <w:rPr>
          <w:spacing w:val="0"/>
        </w:rPr>
        <w:tab/>
        <w:t xml:space="preserve">has waived earned sick leave benefits as provided under </w:t>
      </w:r>
      <w:r w:rsidRPr="006652B4">
        <w:rPr>
          <w:rFonts w:ascii="Albertus Extra Bold" w:hAnsi="Albertus Extra Bold"/>
          <w:b/>
          <w:spacing w:val="0"/>
        </w:rPr>
        <w:t>[</w:t>
      </w:r>
      <w:r w:rsidRPr="006652B4">
        <w:rPr>
          <w:spacing w:val="0"/>
        </w:rPr>
        <w:t xml:space="preserve">this act] </w:t>
      </w:r>
      <w:r w:rsidRPr="006652B4">
        <w:rPr>
          <w:spacing w:val="0"/>
          <w:u w:val="single"/>
        </w:rPr>
        <w:t>P.L.2018, c.10 (C.34:11D-1 et seq.)</w:t>
      </w:r>
      <w:r w:rsidRPr="006652B4">
        <w:rPr>
          <w:spacing w:val="0"/>
        </w:rPr>
        <w:t xml:space="preserve"> under terms of employment for alternative benefits or consideration.</w:t>
      </w:r>
    </w:p>
    <w:p w14:paraId="33C8AC3C"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 xml:space="preserve">"Per diem health care employee" shall not include any individual who is certified as a homemaker-home health aide </w:t>
      </w:r>
      <w:r w:rsidRPr="006652B4">
        <w:rPr>
          <w:spacing w:val="0"/>
          <w:u w:val="single"/>
        </w:rPr>
        <w:t>or any individual who is employed by</w:t>
      </w:r>
      <w:r w:rsidRPr="006652B4">
        <w:rPr>
          <w:spacing w:val="0"/>
        </w:rPr>
        <w:t xml:space="preserve"> </w:t>
      </w:r>
      <w:r w:rsidRPr="006652B4">
        <w:rPr>
          <w:rFonts w:ascii="Albertus Extra Bold" w:hAnsi="Albertus Extra Bold"/>
          <w:b/>
          <w:vertAlign w:val="superscript"/>
        </w:rPr>
        <w:t>1</w:t>
      </w:r>
      <w:r w:rsidRPr="006652B4">
        <w:rPr>
          <w:spacing w:val="0"/>
          <w:u w:val="single"/>
        </w:rPr>
        <w:t>or placed with</w:t>
      </w:r>
      <w:r w:rsidRPr="006652B4">
        <w:rPr>
          <w:rFonts w:ascii="Albertus Extra Bold" w:hAnsi="Albertus Extra Bold"/>
          <w:b/>
          <w:vertAlign w:val="superscript"/>
        </w:rPr>
        <w:t>1</w:t>
      </w:r>
      <w:r w:rsidRPr="006652B4">
        <w:rPr>
          <w:spacing w:val="0"/>
        </w:rPr>
        <w:t xml:space="preserve"> </w:t>
      </w:r>
      <w:r w:rsidRPr="006652B4">
        <w:rPr>
          <w:spacing w:val="0"/>
          <w:u w:val="single"/>
        </w:rPr>
        <w:t>a long-term care facility</w:t>
      </w:r>
      <w:r w:rsidRPr="006652B4">
        <w:rPr>
          <w:spacing w:val="0"/>
        </w:rPr>
        <w:t>.</w:t>
      </w:r>
    </w:p>
    <w:p w14:paraId="34843870"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 xml:space="preserve">"Retaliatory personnel action" means denial of any right guaranteed under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xml:space="preserve">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14:paraId="4F75F4D5"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"Sibling" means a biological, foster, or adopted sibling of an employee.</w:t>
      </w:r>
    </w:p>
    <w:p w14:paraId="7B3E688A"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"Spouse" means a husband or wife.</w:t>
      </w:r>
    </w:p>
    <w:p w14:paraId="60A95703" w14:textId="28B51465" w:rsidR="007610EF"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w:t>
      </w:r>
      <w:proofErr w:type="spellStart"/>
      <w:r w:rsidRPr="006652B4">
        <w:rPr>
          <w:spacing w:val="0"/>
        </w:rPr>
        <w:t>cf</w:t>
      </w:r>
      <w:proofErr w:type="spellEnd"/>
      <w:r w:rsidRPr="006652B4">
        <w:rPr>
          <w:spacing w:val="0"/>
        </w:rPr>
        <w:t>: P.L.2018, c.10, s.1)</w:t>
      </w:r>
    </w:p>
    <w:p w14:paraId="4DAEECC8" w14:textId="737343D5" w:rsidR="006B5546" w:rsidRDefault="006B5546" w:rsidP="007610EF"/>
    <w:p w14:paraId="3BECCCD2"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2.</w:t>
      </w:r>
      <w:r w:rsidRPr="006652B4">
        <w:rPr>
          <w:spacing w:val="0"/>
        </w:rPr>
        <w:tab/>
        <w:t>Section 2 of P.L.2018, c.10 (C.34:11D-2) is amended to read as follows:</w:t>
      </w:r>
    </w:p>
    <w:p w14:paraId="067A5C26"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2.</w:t>
      </w:r>
      <w:r w:rsidRPr="006652B4">
        <w:rPr>
          <w:spacing w:val="0"/>
        </w:rPr>
        <w:tab/>
        <w:t xml:space="preserve">a.  </w:t>
      </w:r>
      <w:r w:rsidRPr="006652B4">
        <w:rPr>
          <w:spacing w:val="0"/>
          <w:u w:val="single"/>
        </w:rPr>
        <w:t>(1)</w:t>
      </w:r>
      <w:r w:rsidRPr="006652B4">
        <w:rPr>
          <w:spacing w:val="0"/>
        </w:rPr>
        <w:t xml:space="preserve">  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under this section, on the first day of each benefit year in accordance with subsection c. or subsection d. of section 3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(C.34:11D-3)</w:t>
      </w:r>
      <w:r w:rsidRPr="006652B4">
        <w:rPr>
          <w:spacing w:val="0"/>
        </w:rPr>
        <w:t xml:space="preserve">. The employer shall not be required to permit the </w:t>
      </w:r>
      <w:r w:rsidRPr="006652B4">
        <w:rPr>
          <w:spacing w:val="0"/>
        </w:rPr>
        <w:lastRenderedPageBreak/>
        <w:t xml:space="preserve">employee to accrue or use in any benefit year, or carry forward from one benefit year to the next, more than 40 hours of earned sick leave.  </w:t>
      </w:r>
    </w:p>
    <w:p w14:paraId="1F2DD8B3"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r>
      <w:r w:rsidRPr="006652B4">
        <w:rPr>
          <w:rFonts w:ascii="Albertus Extra Bold" w:hAnsi="Albertus Extra Bold"/>
          <w:b/>
          <w:spacing w:val="0"/>
        </w:rPr>
        <w:t>[</w:t>
      </w:r>
      <w:r w:rsidRPr="006652B4">
        <w:rPr>
          <w:spacing w:val="0"/>
        </w:rPr>
        <w:t>Unless</w:t>
      </w:r>
      <w:r w:rsidRPr="006652B4">
        <w:rPr>
          <w:rFonts w:ascii="Albertus Extra Bold" w:hAnsi="Albertus Extra Bold"/>
          <w:b/>
          <w:spacing w:val="0"/>
        </w:rPr>
        <w:t>]</w:t>
      </w:r>
      <w:r w:rsidRPr="006652B4">
        <w:rPr>
          <w:spacing w:val="0"/>
        </w:rPr>
        <w:t xml:space="preserve">  </w:t>
      </w:r>
      <w:r w:rsidRPr="006652B4">
        <w:rPr>
          <w:spacing w:val="0"/>
          <w:u w:val="single"/>
        </w:rPr>
        <w:t>(2)  Except as provided in paragraph (3) of this subsection, unless</w:t>
      </w:r>
      <w:r w:rsidRPr="006652B4">
        <w:rPr>
          <w:spacing w:val="0"/>
        </w:rPr>
        <w:t xml:space="preserve"> the employee has accrued earned sick leave prior to the effective date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xml:space="preserve">, the earned sick leave shall begin to accrue on the effective date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xml:space="preserve"> for any employee who is hired and commences employment before the effective date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xml:space="preserve"> and the employee shall be eligible to use the earned sick leave beginning on the 120th calendar day after the employee commences employment, and if the employment commences after the effective date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14:paraId="3CDF1C06" w14:textId="7C4524C2"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652B4">
        <w:rPr>
          <w:spacing w:val="0"/>
        </w:rPr>
        <w:tab/>
      </w:r>
      <w:r w:rsidRPr="006652B4">
        <w:rPr>
          <w:spacing w:val="0"/>
          <w:u w:val="single"/>
        </w:rPr>
        <w:t>(3)</w:t>
      </w:r>
      <w:r w:rsidRPr="006652B4">
        <w:rPr>
          <w:spacing w:val="0"/>
          <w:u w:val="single"/>
        </w:rPr>
        <w:tab/>
        <w:t>In the case of an employee</w:t>
      </w:r>
      <w:r w:rsidRPr="006652B4">
        <w:rPr>
          <w:spacing w:val="0"/>
        </w:rPr>
        <w:t xml:space="preserve"> </w:t>
      </w:r>
      <w:r w:rsidRPr="006652B4">
        <w:rPr>
          <w:rFonts w:ascii="Albertus Extra Bold" w:hAnsi="Albertus Extra Bold"/>
          <w:b/>
          <w:vertAlign w:val="superscript"/>
        </w:rPr>
        <w:t>1</w:t>
      </w:r>
      <w:r w:rsidRPr="006652B4">
        <w:rPr>
          <w:rFonts w:ascii="Albertus Extra Bold" w:hAnsi="Albertus Extra Bold"/>
          <w:b/>
        </w:rPr>
        <w:t>[</w:t>
      </w:r>
      <w:r w:rsidRPr="006652B4">
        <w:rPr>
          <w:spacing w:val="0"/>
          <w:u w:val="single"/>
        </w:rPr>
        <w:t>of</w:t>
      </w:r>
      <w:r w:rsidRPr="006652B4">
        <w:rPr>
          <w:rFonts w:ascii="Albertus Extra Bold" w:hAnsi="Albertus Extra Bold"/>
          <w:b/>
        </w:rPr>
        <w:t>]</w:t>
      </w:r>
      <w:r w:rsidRPr="006652B4">
        <w:rPr>
          <w:spacing w:val="0"/>
        </w:rPr>
        <w:t xml:space="preserve"> </w:t>
      </w:r>
      <w:r w:rsidRPr="006652B4">
        <w:rPr>
          <w:spacing w:val="0"/>
          <w:u w:val="single"/>
        </w:rPr>
        <w:t>employed by or placed with</w:t>
      </w:r>
      <w:r w:rsidRPr="006652B4">
        <w:rPr>
          <w:rFonts w:ascii="Albertus Extra Bold" w:hAnsi="Albertus Extra Bold"/>
          <w:b/>
          <w:vertAlign w:val="superscript"/>
        </w:rPr>
        <w:t>1</w:t>
      </w:r>
      <w:r w:rsidRPr="006652B4">
        <w:rPr>
          <w:spacing w:val="0"/>
        </w:rPr>
        <w:t xml:space="preserve"> </w:t>
      </w:r>
      <w:r w:rsidRPr="006652B4">
        <w:rPr>
          <w:spacing w:val="0"/>
          <w:u w:val="single"/>
        </w:rPr>
        <w:t>a long-term care facility, unless the employee has accrued earned sick leave prior to the effective date of P.L.    , c.    (C.        ) (pending before the Legislature as this bill), the earned sick leave shall begin to accrue on the effective date of P.L.    , c.    (C.        ) (pending before the Legislature as this bill) for any employee who is hired and commences employment before the effective date of P.L.    , c.    (C.        ) (pending before the Legislature as this bill),</w:t>
      </w:r>
      <w:r w:rsidRPr="006652B4">
        <w:rPr>
          <w:spacing w:val="0"/>
        </w:rPr>
        <w:t xml:space="preserve"> </w:t>
      </w:r>
      <w:r w:rsidRPr="006652B4">
        <w:rPr>
          <w:rFonts w:ascii="Albertus Extra Bold" w:hAnsi="Albertus Extra Bold"/>
          <w:b/>
          <w:vertAlign w:val="superscript"/>
        </w:rPr>
        <w:t>1</w:t>
      </w:r>
      <w:r w:rsidRPr="006652B4">
        <w:rPr>
          <w:rFonts w:ascii="Albertus Extra Bold" w:hAnsi="Albertus Extra Bold"/>
          <w:b/>
        </w:rPr>
        <w:t>[</w:t>
      </w:r>
      <w:r w:rsidRPr="006652B4">
        <w:rPr>
          <w:spacing w:val="0"/>
          <w:u w:val="single"/>
        </w:rPr>
        <w:t>and</w:t>
      </w:r>
      <w:r w:rsidRPr="006652B4">
        <w:rPr>
          <w:rFonts w:ascii="Albertus Extra Bold" w:hAnsi="Albertus Extra Bold"/>
          <w:b/>
        </w:rPr>
        <w:t>]</w:t>
      </w:r>
      <w:r w:rsidRPr="006652B4">
        <w:rPr>
          <w:rFonts w:ascii="Albertus Extra Bold" w:hAnsi="Albertus Extra Bold"/>
          <w:b/>
          <w:vertAlign w:val="superscript"/>
        </w:rPr>
        <w:t>1</w:t>
      </w:r>
      <w:r w:rsidRPr="006652B4">
        <w:rPr>
          <w:spacing w:val="0"/>
        </w:rPr>
        <w:t xml:space="preserve"> </w:t>
      </w:r>
      <w:r w:rsidRPr="006652B4">
        <w:rPr>
          <w:spacing w:val="0"/>
          <w:u w:val="single"/>
        </w:rPr>
        <w:t>the employee shall additionally be credited with earned sick leave for any hours worked between March 9, 2020 and the effective date of P.L.    , c.    (C.        ) (pending before the Legislature as this bill)</w:t>
      </w:r>
      <w:r w:rsidRPr="006652B4">
        <w:rPr>
          <w:spacing w:val="0"/>
        </w:rPr>
        <w:t xml:space="preserve"> </w:t>
      </w:r>
      <w:r w:rsidRPr="006652B4">
        <w:rPr>
          <w:rFonts w:ascii="Albertus Extra Bold" w:hAnsi="Albertus Extra Bold"/>
          <w:b/>
          <w:vertAlign w:val="superscript"/>
        </w:rPr>
        <w:t>1</w:t>
      </w:r>
      <w:r w:rsidRPr="006652B4">
        <w:rPr>
          <w:rFonts w:ascii="Albertus Extra Bold" w:hAnsi="Albertus Extra Bold"/>
          <w:b/>
        </w:rPr>
        <w:t>[</w:t>
      </w:r>
      <w:r w:rsidRPr="006652B4">
        <w:rPr>
          <w:spacing w:val="0"/>
          <w:u w:val="single"/>
        </w:rPr>
        <w:t>.  The</w:t>
      </w:r>
      <w:r w:rsidRPr="006652B4">
        <w:rPr>
          <w:rFonts w:ascii="Albertus Extra Bold" w:hAnsi="Albertus Extra Bold"/>
          <w:b/>
        </w:rPr>
        <w:t>]</w:t>
      </w:r>
      <w:r w:rsidRPr="006652B4">
        <w:rPr>
          <w:spacing w:val="0"/>
        </w:rPr>
        <w:t xml:space="preserve"> </w:t>
      </w:r>
      <w:r w:rsidRPr="006652B4">
        <w:rPr>
          <w:spacing w:val="0"/>
          <w:u w:val="single"/>
        </w:rPr>
        <w:t>and the</w:t>
      </w:r>
      <w:r w:rsidRPr="006652B4">
        <w:rPr>
          <w:rFonts w:ascii="Albertus Extra Bold" w:hAnsi="Albertus Extra Bold"/>
          <w:b/>
          <w:vertAlign w:val="superscript"/>
        </w:rPr>
        <w:t>1</w:t>
      </w:r>
      <w:r w:rsidRPr="006652B4">
        <w:rPr>
          <w:spacing w:val="0"/>
        </w:rPr>
        <w:t xml:space="preserve"> </w:t>
      </w:r>
      <w:r w:rsidRPr="006652B4">
        <w:rPr>
          <w:spacing w:val="0"/>
          <w:u w:val="single"/>
        </w:rPr>
        <w:t>employee shall be eligible to use the earned sick leave beginning on the</w:t>
      </w:r>
      <w:r w:rsidRPr="006652B4">
        <w:rPr>
          <w:spacing w:val="0"/>
        </w:rPr>
        <w:t xml:space="preserve"> </w:t>
      </w:r>
      <w:r w:rsidRPr="006652B4">
        <w:rPr>
          <w:rFonts w:ascii="Albertus Extra Bold" w:hAnsi="Albertus Extra Bold"/>
          <w:b/>
          <w:vertAlign w:val="superscript"/>
        </w:rPr>
        <w:t>1</w:t>
      </w:r>
      <w:r w:rsidRPr="006652B4">
        <w:rPr>
          <w:rFonts w:ascii="Albertus Extra Bold" w:hAnsi="Albertus Extra Bold"/>
          <w:b/>
        </w:rPr>
        <w:t>[</w:t>
      </w:r>
      <w:r w:rsidRPr="006652B4">
        <w:rPr>
          <w:spacing w:val="0"/>
          <w:u w:val="single"/>
        </w:rPr>
        <w:t>30th</w:t>
      </w:r>
      <w:r w:rsidRPr="006652B4">
        <w:rPr>
          <w:rFonts w:ascii="Albertus Extra Bold" w:hAnsi="Albertus Extra Bold"/>
          <w:b/>
        </w:rPr>
        <w:t>]</w:t>
      </w:r>
      <w:r w:rsidRPr="006652B4">
        <w:rPr>
          <w:spacing w:val="0"/>
        </w:rPr>
        <w:t xml:space="preserve"> </w:t>
      </w:r>
      <w:r w:rsidRPr="006652B4">
        <w:rPr>
          <w:spacing w:val="0"/>
          <w:u w:val="single"/>
        </w:rPr>
        <w:t>60th</w:t>
      </w:r>
      <w:r w:rsidRPr="006652B4">
        <w:rPr>
          <w:rFonts w:ascii="Albertus Extra Bold" w:hAnsi="Albertus Extra Bold"/>
          <w:b/>
          <w:vertAlign w:val="superscript"/>
        </w:rPr>
        <w:t>1</w:t>
      </w:r>
      <w:r w:rsidRPr="006652B4">
        <w:rPr>
          <w:spacing w:val="0"/>
        </w:rPr>
        <w:t xml:space="preserve"> </w:t>
      </w:r>
      <w:r w:rsidRPr="006652B4">
        <w:rPr>
          <w:spacing w:val="0"/>
          <w:u w:val="single"/>
        </w:rPr>
        <w:t>calendar day after the employee commences employment</w:t>
      </w:r>
      <w:r w:rsidRPr="006652B4">
        <w:rPr>
          <w:spacing w:val="0"/>
        </w:rPr>
        <w:t xml:space="preserve"> </w:t>
      </w:r>
      <w:r w:rsidRPr="006652B4">
        <w:rPr>
          <w:rFonts w:ascii="Albertus Extra Bold" w:hAnsi="Albertus Extra Bold"/>
          <w:b/>
          <w:vertAlign w:val="superscript"/>
        </w:rPr>
        <w:t>1</w:t>
      </w:r>
      <w:r w:rsidRPr="006652B4">
        <w:rPr>
          <w:rFonts w:ascii="Albertus Extra Bold" w:hAnsi="Albertus Extra Bold"/>
          <w:b/>
        </w:rPr>
        <w:t>[</w:t>
      </w:r>
      <w:r w:rsidRPr="006652B4">
        <w:rPr>
          <w:spacing w:val="0"/>
          <w:u w:val="single"/>
        </w:rPr>
        <w:t>, and if</w:t>
      </w:r>
      <w:r w:rsidRPr="006652B4">
        <w:rPr>
          <w:rFonts w:ascii="Albertus Extra Bold" w:hAnsi="Albertus Extra Bold"/>
          <w:b/>
        </w:rPr>
        <w:t>]</w:t>
      </w:r>
      <w:r w:rsidRPr="006652B4">
        <w:rPr>
          <w:spacing w:val="0"/>
        </w:rPr>
        <w:t xml:space="preserve"> </w:t>
      </w:r>
      <w:r w:rsidRPr="006652B4">
        <w:rPr>
          <w:spacing w:val="0"/>
          <w:u w:val="single"/>
        </w:rPr>
        <w:t>.  If</w:t>
      </w:r>
      <w:r w:rsidRPr="006652B4">
        <w:rPr>
          <w:rFonts w:ascii="Albertus Extra Bold" w:hAnsi="Albertus Extra Bold"/>
          <w:b/>
          <w:vertAlign w:val="superscript"/>
        </w:rPr>
        <w:t>1</w:t>
      </w:r>
      <w:r w:rsidRPr="006652B4">
        <w:rPr>
          <w:spacing w:val="0"/>
        </w:rPr>
        <w:t xml:space="preserve"> </w:t>
      </w:r>
      <w:r w:rsidRPr="006652B4">
        <w:rPr>
          <w:spacing w:val="0"/>
          <w:u w:val="single"/>
        </w:rPr>
        <w:t xml:space="preserve">the employment </w:t>
      </w:r>
      <w:r w:rsidRPr="006652B4">
        <w:rPr>
          <w:spacing w:val="0"/>
        </w:rPr>
        <w:t xml:space="preserve"> </w:t>
      </w:r>
      <w:r w:rsidRPr="006652B4">
        <w:rPr>
          <w:rFonts w:ascii="Albertus Extra Bold" w:hAnsi="Albertus Extra Bold"/>
          <w:b/>
          <w:vertAlign w:val="superscript"/>
        </w:rPr>
        <w:t>1</w:t>
      </w:r>
      <w:r w:rsidRPr="006652B4">
        <w:rPr>
          <w:spacing w:val="0"/>
          <w:u w:val="single"/>
        </w:rPr>
        <w:t>or placement</w:t>
      </w:r>
      <w:r w:rsidRPr="006652B4">
        <w:rPr>
          <w:rFonts w:ascii="Albertus Extra Bold" w:hAnsi="Albertus Extra Bold"/>
          <w:b/>
          <w:vertAlign w:val="superscript"/>
        </w:rPr>
        <w:t>1</w:t>
      </w:r>
      <w:r w:rsidRPr="006652B4">
        <w:rPr>
          <w:spacing w:val="0"/>
        </w:rPr>
        <w:t xml:space="preserve"> </w:t>
      </w:r>
      <w:r w:rsidRPr="006652B4">
        <w:rPr>
          <w:spacing w:val="0"/>
          <w:u w:val="single"/>
        </w:rPr>
        <w:t>commences after the effective date of  P.L.    , c.    (C.</w:t>
      </w:r>
      <w:r w:rsidR="006C2B29">
        <w:rPr>
          <w:spacing w:val="0"/>
          <w:u w:val="single"/>
        </w:rPr>
        <w:t>        </w:t>
      </w:r>
      <w:r w:rsidRPr="006652B4">
        <w:rPr>
          <w:spacing w:val="0"/>
          <w:u w:val="single"/>
        </w:rPr>
        <w:t>)</w:t>
      </w:r>
      <w:r w:rsidR="006C2B29">
        <w:rPr>
          <w:spacing w:val="0"/>
          <w:u w:val="single"/>
        </w:rPr>
        <w:t> </w:t>
      </w:r>
      <w:r w:rsidRPr="006652B4">
        <w:rPr>
          <w:spacing w:val="0"/>
          <w:u w:val="single"/>
        </w:rPr>
        <w:t>(pending before the Legislature as this bill),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14:paraId="5642F994"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b.</w:t>
      </w:r>
      <w:r w:rsidRPr="006652B4">
        <w:rPr>
          <w:spacing w:val="0"/>
        </w:rPr>
        <w:tab/>
        <w:t xml:space="preserve">An employer shall be in compliance with this section if the employer offers paid time off, which is fully paid and shall include, but is not limited to personal days, vacation days, and sick days, and may be used for the purposes of section 3 of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(C.34:11D-3)</w:t>
      </w:r>
      <w:r w:rsidRPr="006652B4">
        <w:rPr>
          <w:spacing w:val="0"/>
        </w:rPr>
        <w:t xml:space="preserve"> in the manner provided by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 xml:space="preserve">P.L.2018, c.10 </w:t>
      </w:r>
      <w:r w:rsidRPr="006652B4">
        <w:rPr>
          <w:spacing w:val="0"/>
          <w:u w:val="single"/>
        </w:rPr>
        <w:lastRenderedPageBreak/>
        <w:t>(C.34:11D-3)</w:t>
      </w:r>
      <w:r w:rsidRPr="006652B4">
        <w:rPr>
          <w:spacing w:val="0"/>
        </w:rPr>
        <w:t>, and is accrued at a rate equal to or greater than the rate described in this section.</w:t>
      </w:r>
    </w:p>
    <w:p w14:paraId="626D9614"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c.</w:t>
      </w:r>
      <w:r w:rsidRPr="006652B4">
        <w:rPr>
          <w:spacing w:val="0"/>
        </w:rP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14:paraId="21236C03"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d.</w:t>
      </w:r>
      <w:r w:rsidRPr="006652B4">
        <w:rPr>
          <w:spacing w:val="0"/>
        </w:rP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14:paraId="66F37465"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e.</w:t>
      </w:r>
      <w:r w:rsidRPr="006652B4">
        <w:rPr>
          <w:spacing w:val="0"/>
        </w:rPr>
        <w:tab/>
        <w:t xml:space="preserve">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w:t>
      </w:r>
      <w:r w:rsidRPr="006652B4">
        <w:rPr>
          <w:rFonts w:ascii="Albertus Extra Bold" w:hAnsi="Albertus Extra Bold"/>
          <w:b/>
          <w:spacing w:val="0"/>
        </w:rPr>
        <w:t>[</w:t>
      </w:r>
      <w:r w:rsidRPr="006652B4">
        <w:rPr>
          <w:spacing w:val="0"/>
        </w:rPr>
        <w:t>this act</w:t>
      </w:r>
      <w:r w:rsidRPr="006652B4">
        <w:rPr>
          <w:rFonts w:ascii="Albertus Extra Bold" w:hAnsi="Albertus Extra Bold"/>
          <w:b/>
          <w:spacing w:val="0"/>
        </w:rPr>
        <w:t>]</w:t>
      </w:r>
      <w:r w:rsidRPr="006652B4">
        <w:rPr>
          <w:spacing w:val="0"/>
        </w:rPr>
        <w:t xml:space="preserve"> </w:t>
      </w:r>
      <w:r w:rsidRPr="006652B4">
        <w:rPr>
          <w:spacing w:val="0"/>
          <w:u w:val="single"/>
        </w:rPr>
        <w:t>P.L.2018, c.10 (C.34:11D-1 et seq.)</w:t>
      </w:r>
      <w:r w:rsidRPr="006652B4">
        <w:rPr>
          <w:spacing w:val="0"/>
        </w:rPr>
        <w: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14:paraId="24C54792" w14:textId="77777777" w:rsidR="006652B4" w:rsidRPr="006652B4" w:rsidRDefault="006652B4" w:rsidP="006652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52B4">
        <w:rPr>
          <w:spacing w:val="0"/>
        </w:rPr>
        <w:tab/>
        <w:t>f.</w:t>
      </w:r>
      <w:r w:rsidRPr="006652B4">
        <w:rPr>
          <w:spacing w:val="0"/>
        </w:rP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14:paraId="4AF41524" w14:textId="3F576FB3" w:rsidR="006B5546" w:rsidRDefault="006652B4" w:rsidP="006652B4">
      <w:r w:rsidRPr="006652B4">
        <w:rPr>
          <w:spacing w:val="0"/>
        </w:rPr>
        <w:t>(</w:t>
      </w:r>
      <w:proofErr w:type="spellStart"/>
      <w:r w:rsidRPr="006652B4">
        <w:rPr>
          <w:spacing w:val="0"/>
        </w:rPr>
        <w:t>cf</w:t>
      </w:r>
      <w:proofErr w:type="spellEnd"/>
      <w:r w:rsidRPr="006652B4">
        <w:rPr>
          <w:spacing w:val="0"/>
        </w:rPr>
        <w:t>: P.L.2018, c.10, s.2)</w:t>
      </w:r>
    </w:p>
    <w:p w14:paraId="7083BE7D" w14:textId="77777777" w:rsidR="005F4A40" w:rsidRDefault="005F4A40" w:rsidP="00686AEB"/>
    <w:p w14:paraId="72B36A3F" w14:textId="4B094F68" w:rsidR="00686AEB" w:rsidRDefault="00686AEB" w:rsidP="00686AEB">
      <w:r>
        <w:tab/>
      </w:r>
      <w:r w:rsidR="006B5546">
        <w:t>3</w:t>
      </w:r>
      <w:r w:rsidR="000750E8">
        <w:t>.</w:t>
      </w:r>
      <w:r w:rsidR="00B844E3">
        <w:tab/>
      </w:r>
      <w:r w:rsidR="000750E8">
        <w:t>This act shall take effect</w:t>
      </w:r>
      <w:r w:rsidR="00B844E3">
        <w:t xml:space="preserve"> immediately.</w:t>
      </w:r>
    </w:p>
    <w:sectPr w:rsidR="00686AEB" w:rsidSect="006C2B29">
      <w:headerReference w:type="default" r:id="rId14"/>
      <w:footerReference w:type="default" r:id="rId15"/>
      <w:headerReference w:type="first" r:id="rId16"/>
      <w:footerReference w:type="first" r:id="rId17"/>
      <w:pgSz w:w="12240" w:h="20160" w:code="5"/>
      <w:pgMar w:top="1440" w:right="2520" w:bottom="1980" w:left="2880" w:header="1181" w:footer="118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07D7E" w14:textId="27088031" w:rsidR="00883206" w:rsidRDefault="0011050B" w:rsidP="0011050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6E22E176" w14:textId="77777777" w:rsidR="006652B4" w:rsidRDefault="00801B38"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E045D1E" w14:textId="615AA96F" w:rsidR="006652B4" w:rsidRDefault="006652B4" w:rsidP="00686AEB">
    <w:pPr>
      <w:pStyle w:val="Footer"/>
      <w:rPr>
        <w:szCs w:val="18"/>
      </w:rPr>
    </w:pPr>
    <w:r>
      <w:rPr>
        <w:szCs w:val="18"/>
      </w:rPr>
      <w:tab/>
      <w:t>Matter enclosed in superscript numerals has been adopted as follows:</w:t>
    </w:r>
  </w:p>
  <w:p w14:paraId="6935F011" w14:textId="6C0CB491" w:rsidR="006652B4" w:rsidRDefault="006652B4"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46063B">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55CB53BE"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480F12B2" w:rsidR="00801B38" w:rsidRDefault="00801B38" w:rsidP="00686AEB">
    <w:pPr>
      <w:pStyle w:val="Header"/>
      <w:jc w:val="center"/>
      <w:rPr>
        <w:rStyle w:val="PageNumber"/>
      </w:rPr>
    </w:pPr>
  </w:p>
  <w:p w14:paraId="054D12E8" w14:textId="7BFF81E1" w:rsidR="00AA2602" w:rsidRDefault="00AA2602" w:rsidP="00AA2602">
    <w:pPr>
      <w:pStyle w:val="bpuHeadSpon"/>
    </w:pPr>
    <w:r w:rsidRPr="00AA2602">
      <w:rPr>
        <w:rStyle w:val="bpuHeadSponChar"/>
      </w:rPr>
      <w:t>S2786</w:t>
    </w:r>
    <w:r>
      <w:t xml:space="preserve"> </w:t>
    </w:r>
    <w:r w:rsidR="006652B4">
      <w:t xml:space="preserve">[1R] </w:t>
    </w:r>
    <w:r>
      <w:t>WEINBERG</w:t>
    </w:r>
    <w:r w:rsidR="00883206">
      <w:t>, GREENSTEIN</w:t>
    </w:r>
  </w:p>
  <w:p w14:paraId="6B5F5A63" w14:textId="3607ABD5" w:rsidR="00AA2602" w:rsidRDefault="00AA2602" w:rsidP="00AA2602">
    <w:pPr>
      <w:pStyle w:val="bpuHeadSpon"/>
    </w:pPr>
    <w:r>
      <w:fldChar w:fldCharType="begin"/>
    </w:r>
    <w:r>
      <w:instrText xml:space="preserve"> PAGE  \* MERGEFORMAT </w:instrText>
    </w:r>
    <w:r>
      <w:fldChar w:fldCharType="separate"/>
    </w:r>
    <w:r w:rsidR="00B820B2">
      <w:rPr>
        <w:noProof/>
      </w:rPr>
      <w:t>6</w:t>
    </w:r>
    <w:r>
      <w:fldChar w:fldCharType="end"/>
    </w:r>
  </w:p>
  <w:p w14:paraId="7109EF4B" w14:textId="77777777" w:rsidR="00AA2602" w:rsidRDefault="00AA2602" w:rsidP="00AA26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AFA29B4" w:rsidR="00801B38" w:rsidRDefault="00801B38">
    <w:pPr>
      <w:pStyle w:val="Header"/>
    </w:pPr>
  </w:p>
  <w:p w14:paraId="6A1ECB1C" w14:textId="1861F103" w:rsidR="00AA2602" w:rsidRDefault="00AA2602" w:rsidP="00AA2602">
    <w:pPr>
      <w:pStyle w:val="bpuHeadSpon"/>
    </w:pPr>
    <w:r w:rsidRPr="00AA2602">
      <w:rPr>
        <w:rStyle w:val="bpuHeadSponChar"/>
      </w:rPr>
      <w:t>S2786</w:t>
    </w:r>
    <w:r>
      <w:t xml:space="preserve"> </w:t>
    </w:r>
    <w:r w:rsidR="006652B4">
      <w:t xml:space="preserve">[1R] </w:t>
    </w:r>
    <w:r>
      <w:t>WEINBERG</w:t>
    </w:r>
    <w:r w:rsidR="00883206">
      <w:t>, GREENSTEIN</w:t>
    </w:r>
  </w:p>
  <w:p w14:paraId="2E9FBBA6" w14:textId="1E2006A9" w:rsidR="00AA2602" w:rsidRDefault="00AA2602" w:rsidP="00AA2602">
    <w:pPr>
      <w:pStyle w:val="bpuHeadSpon"/>
    </w:pPr>
    <w:r>
      <w:fldChar w:fldCharType="begin"/>
    </w:r>
    <w:r>
      <w:instrText xml:space="preserve"> PAGE  \* MERGEFORMAT </w:instrText>
    </w:r>
    <w:r>
      <w:fldChar w:fldCharType="separate"/>
    </w:r>
    <w:r w:rsidR="0046063B">
      <w:rPr>
        <w:noProof/>
      </w:rPr>
      <w:t>2</w:t>
    </w:r>
    <w:r>
      <w:fldChar w:fldCharType="end"/>
    </w:r>
  </w:p>
  <w:p w14:paraId="173ECF20" w14:textId="77777777" w:rsidR="00AA2602" w:rsidRDefault="00AA2602" w:rsidP="00AA26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372FB"/>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A10"/>
    <w:rsid w:val="000C4C0E"/>
    <w:rsid w:val="000D11AF"/>
    <w:rsid w:val="000D1295"/>
    <w:rsid w:val="000D421A"/>
    <w:rsid w:val="000D6255"/>
    <w:rsid w:val="000D6262"/>
    <w:rsid w:val="000D7B4A"/>
    <w:rsid w:val="000E0111"/>
    <w:rsid w:val="000E123F"/>
    <w:rsid w:val="000E4006"/>
    <w:rsid w:val="000E7DBE"/>
    <w:rsid w:val="000F3DA2"/>
    <w:rsid w:val="000F4215"/>
    <w:rsid w:val="000F5FDE"/>
    <w:rsid w:val="000F7466"/>
    <w:rsid w:val="00102DC9"/>
    <w:rsid w:val="0010713B"/>
    <w:rsid w:val="00107C93"/>
    <w:rsid w:val="0011050B"/>
    <w:rsid w:val="001242C1"/>
    <w:rsid w:val="00126361"/>
    <w:rsid w:val="00126C5F"/>
    <w:rsid w:val="0013000E"/>
    <w:rsid w:val="00130D02"/>
    <w:rsid w:val="00133F81"/>
    <w:rsid w:val="00135943"/>
    <w:rsid w:val="00137A26"/>
    <w:rsid w:val="00137D00"/>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2908"/>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3C1"/>
    <w:rsid w:val="00222983"/>
    <w:rsid w:val="00223E61"/>
    <w:rsid w:val="0022496A"/>
    <w:rsid w:val="0022753F"/>
    <w:rsid w:val="00227D42"/>
    <w:rsid w:val="0023187D"/>
    <w:rsid w:val="002370D0"/>
    <w:rsid w:val="002421E6"/>
    <w:rsid w:val="00242E0A"/>
    <w:rsid w:val="00253DF3"/>
    <w:rsid w:val="00255958"/>
    <w:rsid w:val="00255C52"/>
    <w:rsid w:val="00257319"/>
    <w:rsid w:val="00257FA2"/>
    <w:rsid w:val="0026574A"/>
    <w:rsid w:val="002660BB"/>
    <w:rsid w:val="002720E8"/>
    <w:rsid w:val="0027447A"/>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56B3A"/>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1E9A"/>
    <w:rsid w:val="00412509"/>
    <w:rsid w:val="00416C4B"/>
    <w:rsid w:val="0041751E"/>
    <w:rsid w:val="004211E5"/>
    <w:rsid w:val="00422091"/>
    <w:rsid w:val="0042596D"/>
    <w:rsid w:val="00425D02"/>
    <w:rsid w:val="0042685F"/>
    <w:rsid w:val="004309F9"/>
    <w:rsid w:val="00432663"/>
    <w:rsid w:val="0043386C"/>
    <w:rsid w:val="00436F2D"/>
    <w:rsid w:val="00436F5D"/>
    <w:rsid w:val="00441B42"/>
    <w:rsid w:val="0044474E"/>
    <w:rsid w:val="0045118A"/>
    <w:rsid w:val="00452F46"/>
    <w:rsid w:val="00453FA5"/>
    <w:rsid w:val="00455D51"/>
    <w:rsid w:val="00456BF9"/>
    <w:rsid w:val="0046063B"/>
    <w:rsid w:val="00461057"/>
    <w:rsid w:val="004704A8"/>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60F"/>
    <w:rsid w:val="005536CD"/>
    <w:rsid w:val="00554051"/>
    <w:rsid w:val="00554D69"/>
    <w:rsid w:val="00554DB1"/>
    <w:rsid w:val="00557240"/>
    <w:rsid w:val="005603DD"/>
    <w:rsid w:val="005651F3"/>
    <w:rsid w:val="00571236"/>
    <w:rsid w:val="00572184"/>
    <w:rsid w:val="005737FF"/>
    <w:rsid w:val="00577A15"/>
    <w:rsid w:val="00577BDD"/>
    <w:rsid w:val="00580533"/>
    <w:rsid w:val="00581EF0"/>
    <w:rsid w:val="0059131D"/>
    <w:rsid w:val="005929FD"/>
    <w:rsid w:val="00597513"/>
    <w:rsid w:val="005A2FF1"/>
    <w:rsid w:val="005A644E"/>
    <w:rsid w:val="005B0AD1"/>
    <w:rsid w:val="005B19AE"/>
    <w:rsid w:val="005B3F92"/>
    <w:rsid w:val="005B479C"/>
    <w:rsid w:val="005B561E"/>
    <w:rsid w:val="005C07E4"/>
    <w:rsid w:val="005C2124"/>
    <w:rsid w:val="005C336F"/>
    <w:rsid w:val="005C7F3C"/>
    <w:rsid w:val="005D0F8C"/>
    <w:rsid w:val="005D18DD"/>
    <w:rsid w:val="005E017C"/>
    <w:rsid w:val="005E50C6"/>
    <w:rsid w:val="005E7F29"/>
    <w:rsid w:val="005F0BE8"/>
    <w:rsid w:val="005F2A97"/>
    <w:rsid w:val="005F399B"/>
    <w:rsid w:val="005F4A40"/>
    <w:rsid w:val="006019F8"/>
    <w:rsid w:val="00605B20"/>
    <w:rsid w:val="0061156F"/>
    <w:rsid w:val="00611C23"/>
    <w:rsid w:val="00612628"/>
    <w:rsid w:val="00613FF5"/>
    <w:rsid w:val="00615392"/>
    <w:rsid w:val="006155A8"/>
    <w:rsid w:val="00621B94"/>
    <w:rsid w:val="00626239"/>
    <w:rsid w:val="006332A7"/>
    <w:rsid w:val="00635316"/>
    <w:rsid w:val="00635449"/>
    <w:rsid w:val="006378C5"/>
    <w:rsid w:val="00642FCD"/>
    <w:rsid w:val="00645E6A"/>
    <w:rsid w:val="00653A38"/>
    <w:rsid w:val="00654F43"/>
    <w:rsid w:val="006622EA"/>
    <w:rsid w:val="006652B4"/>
    <w:rsid w:val="00665CBC"/>
    <w:rsid w:val="006664C3"/>
    <w:rsid w:val="00667A5C"/>
    <w:rsid w:val="00667F52"/>
    <w:rsid w:val="00671ACF"/>
    <w:rsid w:val="00677316"/>
    <w:rsid w:val="00686AEB"/>
    <w:rsid w:val="00692344"/>
    <w:rsid w:val="006B1EFB"/>
    <w:rsid w:val="006B367C"/>
    <w:rsid w:val="006B4644"/>
    <w:rsid w:val="006B5546"/>
    <w:rsid w:val="006B61B8"/>
    <w:rsid w:val="006B7897"/>
    <w:rsid w:val="006B7FA7"/>
    <w:rsid w:val="006C086A"/>
    <w:rsid w:val="006C0CAF"/>
    <w:rsid w:val="006C21C1"/>
    <w:rsid w:val="006C2B29"/>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24D0"/>
    <w:rsid w:val="007079BC"/>
    <w:rsid w:val="00707CD3"/>
    <w:rsid w:val="00711058"/>
    <w:rsid w:val="007116FA"/>
    <w:rsid w:val="00716BB9"/>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6143"/>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23FF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8D7"/>
    <w:rsid w:val="00881846"/>
    <w:rsid w:val="00883206"/>
    <w:rsid w:val="00884D51"/>
    <w:rsid w:val="00886229"/>
    <w:rsid w:val="008901EA"/>
    <w:rsid w:val="008916EC"/>
    <w:rsid w:val="00891E4F"/>
    <w:rsid w:val="00893764"/>
    <w:rsid w:val="00894975"/>
    <w:rsid w:val="008959F1"/>
    <w:rsid w:val="008A31C5"/>
    <w:rsid w:val="008A4F9A"/>
    <w:rsid w:val="008A7AC2"/>
    <w:rsid w:val="008B2850"/>
    <w:rsid w:val="008C4AB1"/>
    <w:rsid w:val="008C547E"/>
    <w:rsid w:val="008C79B3"/>
    <w:rsid w:val="008D5CFC"/>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24FBF"/>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3F1F"/>
    <w:rsid w:val="00A751F1"/>
    <w:rsid w:val="00A80D3E"/>
    <w:rsid w:val="00A824E1"/>
    <w:rsid w:val="00A84C4F"/>
    <w:rsid w:val="00A8568F"/>
    <w:rsid w:val="00A90E43"/>
    <w:rsid w:val="00A932A1"/>
    <w:rsid w:val="00A93AD0"/>
    <w:rsid w:val="00A96E06"/>
    <w:rsid w:val="00AA0E2F"/>
    <w:rsid w:val="00AA13FF"/>
    <w:rsid w:val="00AA1931"/>
    <w:rsid w:val="00AA20D3"/>
    <w:rsid w:val="00AA2602"/>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756EB"/>
    <w:rsid w:val="00B820B2"/>
    <w:rsid w:val="00B83065"/>
    <w:rsid w:val="00B83944"/>
    <w:rsid w:val="00B844E3"/>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71C"/>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071D8"/>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1CE4"/>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93836"/>
    <w:rsid w:val="00EA1379"/>
    <w:rsid w:val="00EA164C"/>
    <w:rsid w:val="00EA1CBD"/>
    <w:rsid w:val="00EA2B5F"/>
    <w:rsid w:val="00EA4B61"/>
    <w:rsid w:val="00EA7C16"/>
    <w:rsid w:val="00EB1D71"/>
    <w:rsid w:val="00EC0D55"/>
    <w:rsid w:val="00EC5281"/>
    <w:rsid w:val="00EC6E9B"/>
    <w:rsid w:val="00EC791D"/>
    <w:rsid w:val="00EC7CA6"/>
    <w:rsid w:val="00ED1F6E"/>
    <w:rsid w:val="00ED3C5D"/>
    <w:rsid w:val="00ED4553"/>
    <w:rsid w:val="00ED66E2"/>
    <w:rsid w:val="00EE1BF3"/>
    <w:rsid w:val="00EF7E12"/>
    <w:rsid w:val="00F00D08"/>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6557"/>
    <w:rsid w:val="00F567E8"/>
    <w:rsid w:val="00F56E96"/>
    <w:rsid w:val="00F573DD"/>
    <w:rsid w:val="00F61ADC"/>
    <w:rsid w:val="00F61E59"/>
    <w:rsid w:val="00F63D99"/>
    <w:rsid w:val="00F6426B"/>
    <w:rsid w:val="00F65BB4"/>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0119"/>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AA2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648FE-4592-4519-B7A2-C8079A8E7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2225</Words>
  <Characters>11393</Characters>
  <Application>Microsoft Office Word</Application>
  <DocSecurity>0</DocSecurity>
  <Lines>253</Lines>
  <Paragraphs>62</Paragraphs>
  <ScaleCrop>false</ScaleCrop>
  <HeadingPairs>
    <vt:vector size="2" baseType="variant">
      <vt:variant>
        <vt:lpstr>Title</vt:lpstr>
      </vt:variant>
      <vt:variant>
        <vt:i4>1</vt:i4>
      </vt:variant>
    </vt:vector>
  </HeadingPairs>
  <TitlesOfParts>
    <vt:vector size="1" baseType="lpstr">
      <vt:lpstr>S2786 1R</vt:lpstr>
    </vt:vector>
  </TitlesOfParts>
  <Manager>R229</Manager>
  <Company>NJ Office of Legislative Services</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S2786 1R</dc:title>
  <dc:subject>20-7646</dc:subject>
  <dc:creator>Senator  WEINBERG</dc:creator>
  <cp:keywords>S2786|6|HS |259|219|254|!||</cp:keywords>
  <dc:description>INTRODUCED JULY 30, 2020_x000d_
AMENDED AUGUST 25, 2020</dc:description>
  <cp:lastModifiedBy>Franks, Denise</cp:lastModifiedBy>
  <cp:revision>2</cp:revision>
  <cp:lastPrinted>2020-07-31T13:54:00Z</cp:lastPrinted>
  <dcterms:created xsi:type="dcterms:W3CDTF">2020-09-02T15:41:00Z</dcterms:created>
  <dcterms:modified xsi:type="dcterms:W3CDTF">2020-09-02T15:41:00Z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