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54604B" w:rsidP="00407C9E">
      <w:pPr>
        <w:pStyle w:val="NoteOrEstimate"/>
      </w:pPr>
      <w:r>
        <w:t>LEGISLATIVE FISCAL ESTIMATE</w:t>
      </w:r>
    </w:p>
    <w:p w:rsidR="000D5335" w:rsidRPr="000D5335" w:rsidRDefault="000D5335" w:rsidP="000D5335">
      <w:pPr>
        <w:pStyle w:val="Reprint"/>
      </w:pPr>
      <w:r>
        <w:t>[Second Reprint]</w:t>
      </w:r>
    </w:p>
    <w:p w:rsidR="003C5892" w:rsidRDefault="0054604B"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2790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877A3" w:rsidP="008877A3">
      <w:pPr>
        <w:pStyle w:val="BillNo"/>
      </w:pPr>
      <w:r>
        <w:t>219th LEGISLATURE</w:t>
      </w:r>
    </w:p>
    <w:p w:rsidR="00353325" w:rsidRDefault="00353325" w:rsidP="00353325"/>
    <w:p w:rsidR="008877A3" w:rsidRDefault="008877A3" w:rsidP="008877A3">
      <w:pPr>
        <w:jc w:val="center"/>
      </w:pPr>
      <w:r>
        <w:t>DATED: AUGUST 31, 2020</w:t>
      </w:r>
    </w:p>
    <w:p w:rsidR="008877A3" w:rsidRDefault="008877A3" w:rsidP="00353325"/>
    <w:p w:rsidR="008877A3" w:rsidRDefault="008877A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B56750" w:rsidTr="002D010F">
        <w:trPr>
          <w:trHeight w:val="576"/>
        </w:trPr>
        <w:tc>
          <w:tcPr>
            <w:tcW w:w="2333" w:type="dxa"/>
          </w:tcPr>
          <w:p w:rsidR="00B56750" w:rsidRPr="003C5892" w:rsidRDefault="00B56750" w:rsidP="002D010F">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B56750" w:rsidRDefault="00B56750" w:rsidP="00EA7801">
            <w:pPr>
              <w:autoSpaceDE w:val="0"/>
              <w:autoSpaceDN w:val="0"/>
              <w:adjustRightInd w:val="0"/>
              <w:spacing w:line="240" w:lineRule="auto"/>
            </w:pPr>
            <w:r w:rsidRPr="00A66908">
              <w:rPr>
                <w:bCs/>
              </w:rPr>
              <w:t>Establishes certain requirements concerning State's preparedness and response to infectious disease outbreaks, including coronavirus disease 2019 (COVID-19) pandemic.</w:t>
            </w:r>
            <w:r w:rsidR="00DB41D4">
              <w:rPr>
                <w:bCs/>
              </w:rPr>
              <w:t xml:space="preserve"> </w:t>
            </w:r>
          </w:p>
        </w:tc>
      </w:tr>
      <w:tr w:rsidR="00B56750" w:rsidTr="002D010F">
        <w:trPr>
          <w:trHeight w:val="576"/>
        </w:trPr>
        <w:tc>
          <w:tcPr>
            <w:tcW w:w="2333" w:type="dxa"/>
          </w:tcPr>
          <w:p w:rsidR="00B56750" w:rsidRPr="003C5892" w:rsidRDefault="00B56750" w:rsidP="002D010F">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B56750" w:rsidRDefault="00B56750" w:rsidP="00EA7801">
            <w:r>
              <w:t>One-time and annual increases in State and local expenditures; potential periodic increase in State revenue.</w:t>
            </w:r>
          </w:p>
        </w:tc>
      </w:tr>
      <w:tr w:rsidR="00B56750" w:rsidTr="002D010F">
        <w:trPr>
          <w:trHeight w:val="576"/>
        </w:trPr>
        <w:tc>
          <w:tcPr>
            <w:tcW w:w="2333" w:type="dxa"/>
          </w:tcPr>
          <w:p w:rsidR="00B56750" w:rsidRPr="003C5892" w:rsidRDefault="00B56750" w:rsidP="002D010F">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B56750" w:rsidRDefault="00B56750" w:rsidP="002D010F">
            <w:r>
              <w:t>Department of Health; Department of Military and Veterans Affairs; Department of Human Services; University Hospital; certain county governments.</w:t>
            </w:r>
            <w:r w:rsidR="00E61662">
              <w:t xml:space="preserve"> </w:t>
            </w:r>
          </w:p>
        </w:tc>
      </w:tr>
    </w:tbl>
    <w:p w:rsidR="00B56750" w:rsidRDefault="00B56750" w:rsidP="00B56750">
      <w:pPr>
        <w:tabs>
          <w:tab w:val="left" w:pos="360"/>
          <w:tab w:val="left" w:pos="720"/>
          <w:tab w:val="left" w:pos="1440"/>
          <w:tab w:val="left" w:pos="2160"/>
          <w:tab w:val="left" w:pos="2880"/>
          <w:tab w:val="left" w:pos="3600"/>
          <w:tab w:val="left" w:pos="4320"/>
          <w:tab w:val="left" w:pos="5040"/>
        </w:tabs>
      </w:pPr>
    </w:p>
    <w:p w:rsidR="00B56750" w:rsidRDefault="00B56750" w:rsidP="00B56750">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950"/>
        <w:gridCol w:w="5410"/>
        <w:gridCol w:w="15"/>
      </w:tblGrid>
      <w:tr w:rsidR="00B56750" w:rsidTr="002D010F">
        <w:trPr>
          <w:trHeight w:val="410"/>
        </w:trPr>
        <w:tc>
          <w:tcPr>
            <w:tcW w:w="9375" w:type="dxa"/>
            <w:gridSpan w:val="3"/>
            <w:tcBorders>
              <w:top w:val="nil"/>
              <w:left w:val="nil"/>
              <w:bottom w:val="nil"/>
              <w:right w:val="nil"/>
            </w:tcBorders>
            <w:vAlign w:val="bottom"/>
          </w:tcPr>
          <w:p w:rsidR="00B56750" w:rsidRPr="00F11982" w:rsidRDefault="00B56750" w:rsidP="002D010F">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B56750" w:rsidTr="002D010F">
        <w:trPr>
          <w:gridAfter w:val="1"/>
          <w:wAfter w:w="15" w:type="dxa"/>
          <w:trHeight w:val="410"/>
        </w:trPr>
        <w:tc>
          <w:tcPr>
            <w:tcW w:w="3950" w:type="dxa"/>
            <w:tcBorders>
              <w:top w:val="single" w:sz="6" w:space="0" w:color="auto"/>
              <w:left w:val="single" w:sz="6" w:space="0" w:color="auto"/>
              <w:bottom w:val="single" w:sz="12" w:space="0" w:color="auto"/>
              <w:right w:val="nil"/>
            </w:tcBorders>
            <w:shd w:val="pct20" w:color="auto" w:fill="auto"/>
            <w:vAlign w:val="bottom"/>
          </w:tcPr>
          <w:p w:rsidR="00B56750" w:rsidRPr="00F11982" w:rsidRDefault="00B56750" w:rsidP="002D010F">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410" w:type="dxa"/>
            <w:tcBorders>
              <w:top w:val="single" w:sz="6" w:space="0" w:color="auto"/>
              <w:left w:val="nil"/>
              <w:bottom w:val="single" w:sz="12" w:space="0" w:color="auto"/>
              <w:right w:val="single" w:sz="6" w:space="0" w:color="auto"/>
            </w:tcBorders>
            <w:shd w:val="pct20" w:color="auto" w:fill="auto"/>
            <w:vAlign w:val="bottom"/>
          </w:tcPr>
          <w:p w:rsidR="00B56750" w:rsidRPr="00F11982" w:rsidRDefault="00B56750" w:rsidP="002D010F">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B56750" w:rsidTr="002D010F">
        <w:trPr>
          <w:gridAfter w:val="1"/>
          <w:wAfter w:w="15" w:type="dxa"/>
          <w:trHeight w:val="410"/>
        </w:trPr>
        <w:tc>
          <w:tcPr>
            <w:tcW w:w="3950" w:type="dxa"/>
            <w:tcBorders>
              <w:top w:val="nil"/>
              <w:left w:val="single" w:sz="6" w:space="0" w:color="auto"/>
              <w:bottom w:val="nil"/>
              <w:right w:val="nil"/>
            </w:tcBorders>
            <w:tcMar>
              <w:bottom w:w="29" w:type="dxa"/>
            </w:tcMar>
            <w:vAlign w:val="bottom"/>
          </w:tcPr>
          <w:p w:rsidR="00B56750" w:rsidRPr="00F11982" w:rsidRDefault="00B56750" w:rsidP="002D010F">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5410" w:type="dxa"/>
            <w:tcBorders>
              <w:top w:val="nil"/>
              <w:left w:val="nil"/>
              <w:bottom w:val="nil"/>
              <w:right w:val="single" w:sz="6" w:space="0" w:color="auto"/>
            </w:tcBorders>
            <w:tcMar>
              <w:bottom w:w="29" w:type="dxa"/>
            </w:tcMar>
            <w:vAlign w:val="bottom"/>
          </w:tcPr>
          <w:p w:rsidR="00B56750" w:rsidRDefault="00B56750" w:rsidP="002D010F">
            <w:pPr>
              <w:tabs>
                <w:tab w:val="left" w:pos="360"/>
                <w:tab w:val="left" w:pos="720"/>
                <w:tab w:val="left" w:pos="1440"/>
                <w:tab w:val="left" w:pos="2160"/>
                <w:tab w:val="left" w:pos="2880"/>
                <w:tab w:val="left" w:pos="3600"/>
                <w:tab w:val="left" w:pos="4320"/>
                <w:tab w:val="left" w:pos="5040"/>
              </w:tabs>
              <w:jc w:val="center"/>
            </w:pPr>
            <w:r>
              <w:t>Indeterminate</w:t>
            </w:r>
          </w:p>
        </w:tc>
      </w:tr>
      <w:tr w:rsidR="00B56750" w:rsidTr="002D010F">
        <w:trPr>
          <w:gridAfter w:val="1"/>
          <w:wAfter w:w="15" w:type="dxa"/>
          <w:trHeight w:val="410"/>
        </w:trPr>
        <w:tc>
          <w:tcPr>
            <w:tcW w:w="3950" w:type="dxa"/>
            <w:tcBorders>
              <w:top w:val="nil"/>
              <w:left w:val="single" w:sz="6" w:space="0" w:color="auto"/>
              <w:bottom w:val="nil"/>
              <w:right w:val="nil"/>
            </w:tcBorders>
            <w:tcMar>
              <w:bottom w:w="29" w:type="dxa"/>
            </w:tcMar>
            <w:vAlign w:val="bottom"/>
          </w:tcPr>
          <w:p w:rsidR="00B56750" w:rsidRPr="00F11982" w:rsidRDefault="00B56750" w:rsidP="002D010F">
            <w:pPr>
              <w:tabs>
                <w:tab w:val="left" w:pos="360"/>
                <w:tab w:val="left" w:pos="720"/>
                <w:tab w:val="left" w:pos="1440"/>
                <w:tab w:val="left" w:pos="2160"/>
                <w:tab w:val="left" w:pos="2880"/>
                <w:tab w:val="left" w:pos="3600"/>
                <w:tab w:val="left" w:pos="4320"/>
                <w:tab w:val="left" w:pos="5040"/>
              </w:tabs>
              <w:rPr>
                <w:b/>
              </w:rPr>
            </w:pPr>
            <w:r>
              <w:rPr>
                <w:b/>
              </w:rPr>
              <w:t>Potential State Revenue Increase</w:t>
            </w:r>
          </w:p>
        </w:tc>
        <w:tc>
          <w:tcPr>
            <w:tcW w:w="5410" w:type="dxa"/>
            <w:tcBorders>
              <w:top w:val="nil"/>
              <w:left w:val="nil"/>
              <w:bottom w:val="nil"/>
              <w:right w:val="single" w:sz="6" w:space="0" w:color="auto"/>
            </w:tcBorders>
            <w:tcMar>
              <w:bottom w:w="29" w:type="dxa"/>
            </w:tcMar>
            <w:vAlign w:val="bottom"/>
          </w:tcPr>
          <w:p w:rsidR="00B56750" w:rsidRDefault="00B56750" w:rsidP="002D010F">
            <w:pPr>
              <w:tabs>
                <w:tab w:val="left" w:pos="360"/>
                <w:tab w:val="left" w:pos="720"/>
                <w:tab w:val="left" w:pos="1440"/>
                <w:tab w:val="left" w:pos="2160"/>
                <w:tab w:val="left" w:pos="2880"/>
                <w:tab w:val="left" w:pos="3600"/>
                <w:tab w:val="left" w:pos="4320"/>
                <w:tab w:val="left" w:pos="5040"/>
              </w:tabs>
              <w:jc w:val="center"/>
            </w:pPr>
            <w:r>
              <w:t>Indeterminate</w:t>
            </w:r>
          </w:p>
        </w:tc>
      </w:tr>
      <w:tr w:rsidR="00B56750" w:rsidTr="002D010F">
        <w:trPr>
          <w:gridAfter w:val="1"/>
          <w:wAfter w:w="15" w:type="dxa"/>
          <w:trHeight w:val="410"/>
        </w:trPr>
        <w:tc>
          <w:tcPr>
            <w:tcW w:w="3950" w:type="dxa"/>
            <w:tcBorders>
              <w:top w:val="nil"/>
              <w:left w:val="single" w:sz="6" w:space="0" w:color="auto"/>
              <w:bottom w:val="nil"/>
              <w:right w:val="nil"/>
            </w:tcBorders>
            <w:tcMar>
              <w:bottom w:w="29" w:type="dxa"/>
            </w:tcMar>
            <w:vAlign w:val="bottom"/>
          </w:tcPr>
          <w:p w:rsidR="00B56750" w:rsidRPr="00F11982" w:rsidRDefault="00B56750" w:rsidP="002D010F">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Cost Increase</w:t>
            </w:r>
          </w:p>
        </w:tc>
        <w:tc>
          <w:tcPr>
            <w:tcW w:w="5410" w:type="dxa"/>
            <w:tcBorders>
              <w:top w:val="nil"/>
              <w:left w:val="nil"/>
              <w:bottom w:val="nil"/>
              <w:right w:val="single" w:sz="6" w:space="0" w:color="auto"/>
            </w:tcBorders>
            <w:tcMar>
              <w:bottom w:w="29" w:type="dxa"/>
            </w:tcMar>
            <w:vAlign w:val="bottom"/>
          </w:tcPr>
          <w:p w:rsidR="00B56750" w:rsidRDefault="00B56750" w:rsidP="002D010F">
            <w:pPr>
              <w:tabs>
                <w:tab w:val="left" w:pos="360"/>
                <w:tab w:val="left" w:pos="720"/>
                <w:tab w:val="left" w:pos="1440"/>
                <w:tab w:val="left" w:pos="2160"/>
                <w:tab w:val="left" w:pos="2880"/>
                <w:tab w:val="left" w:pos="3600"/>
                <w:tab w:val="left" w:pos="4320"/>
                <w:tab w:val="left" w:pos="5040"/>
              </w:tabs>
              <w:jc w:val="center"/>
            </w:pPr>
            <w:r>
              <w:t>Indeterminate</w:t>
            </w:r>
          </w:p>
        </w:tc>
      </w:tr>
      <w:tr w:rsidR="00B56750" w:rsidTr="002D010F">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B56750" w:rsidRDefault="00B56750" w:rsidP="002D010F">
            <w:pPr>
              <w:tabs>
                <w:tab w:val="left" w:pos="360"/>
                <w:tab w:val="left" w:pos="720"/>
                <w:tab w:val="left" w:pos="1440"/>
                <w:tab w:val="left" w:pos="2160"/>
                <w:tab w:val="left" w:pos="2880"/>
                <w:tab w:val="left" w:pos="3600"/>
                <w:tab w:val="left" w:pos="4320"/>
                <w:tab w:val="left" w:pos="5040"/>
              </w:tabs>
            </w:pPr>
          </w:p>
        </w:tc>
      </w:tr>
    </w:tbl>
    <w:p w:rsidR="00B56750" w:rsidRDefault="00B56750" w:rsidP="00B56750">
      <w:pPr>
        <w:tabs>
          <w:tab w:val="left" w:pos="360"/>
          <w:tab w:val="left" w:pos="720"/>
          <w:tab w:val="left" w:pos="1440"/>
          <w:tab w:val="left" w:pos="2160"/>
          <w:tab w:val="left" w:pos="2880"/>
          <w:tab w:val="left" w:pos="3600"/>
          <w:tab w:val="left" w:pos="4320"/>
          <w:tab w:val="left" w:pos="5040"/>
        </w:tabs>
      </w:pPr>
    </w:p>
    <w:p w:rsidR="00B56750" w:rsidRDefault="00B56750" w:rsidP="008877A3">
      <w:pPr>
        <w:pStyle w:val="StyleBulletedSymbolsymbol"/>
        <w:spacing w:after="0"/>
      </w:pPr>
      <w:r>
        <w:t>The Office of Legislative Services (OLS) estimates that this bill may result in an indeterminate increase in annual costs</w:t>
      </w:r>
      <w:r>
        <w:rPr>
          <w:color w:val="1F497D"/>
        </w:rPr>
        <w:t xml:space="preserve"> </w:t>
      </w:r>
      <w:r>
        <w:t>incurred by the Department of Health (DOH) in establishing the Long-Term Care Emergency Operations Center (LTCEOC) and in fulfilling the LTCEOC's duties, as outlined in the bill, to the extent that the department cannot minimize such costs with existing resources and staff.  The OLS notes that any costs associated with the LTCEOC will be limited to expenses realized during a public health emergency affecting or likely to affect one or more long-term care (LTC) facilities, the trigger for making the LTCEOC operational.</w:t>
      </w:r>
    </w:p>
    <w:p w:rsidR="008877A3" w:rsidRDefault="008877A3" w:rsidP="008877A3">
      <w:pPr>
        <w:pStyle w:val="StyleBulletedSymbolsymbol"/>
        <w:numPr>
          <w:ilvl w:val="0"/>
          <w:numId w:val="0"/>
        </w:numPr>
        <w:spacing w:after="0"/>
        <w:ind w:left="360" w:hanging="360"/>
      </w:pPr>
    </w:p>
    <w:p w:rsidR="00B56750" w:rsidRPr="008877A3" w:rsidRDefault="00B56750" w:rsidP="008877A3">
      <w:pPr>
        <w:pStyle w:val="StyleBulletedSymbolsymbol"/>
        <w:spacing w:after="0"/>
      </w:pPr>
      <w:r>
        <w:t>The</w:t>
      </w:r>
      <w:r w:rsidRPr="000D5335">
        <w:t xml:space="preserve"> DOH may realize certain one-time cost increases</w:t>
      </w:r>
      <w:r>
        <w:t xml:space="preserve"> under the bill due to, for example,</w:t>
      </w:r>
      <w:r w:rsidRPr="000D5335">
        <w:t xml:space="preserve"> instituting a regional medical c</w:t>
      </w:r>
      <w:r>
        <w:t>oordination center model and providing grants to LTC facilities regarding electronic health records (EHR) systems</w:t>
      </w:r>
      <w:r w:rsidRPr="000D5335">
        <w:rPr>
          <w:spacing w:val="4"/>
        </w:rPr>
        <w:t>.</w:t>
      </w:r>
      <w:r w:rsidRPr="00A251FA">
        <w:rPr>
          <w:szCs w:val="20"/>
        </w:rPr>
        <w:t xml:space="preserve"> </w:t>
      </w:r>
      <w:r>
        <w:rPr>
          <w:szCs w:val="20"/>
        </w:rPr>
        <w:t xml:space="preserve"> The bill, however, provides for certain provisions that may minimize or eliminate some of the department’s expenses.</w:t>
      </w:r>
    </w:p>
    <w:p w:rsidR="008877A3" w:rsidRDefault="008877A3" w:rsidP="008877A3">
      <w:pPr>
        <w:pStyle w:val="StyleBulletedSymbolsymbol"/>
        <w:numPr>
          <w:ilvl w:val="0"/>
          <w:numId w:val="0"/>
        </w:numPr>
        <w:spacing w:after="0"/>
        <w:ind w:left="360" w:hanging="360"/>
      </w:pPr>
    </w:p>
    <w:p w:rsidR="00B56750" w:rsidRPr="00C21EF5" w:rsidRDefault="00B56750" w:rsidP="00C21EF5">
      <w:pPr>
        <w:pStyle w:val="StyleBulletedSymbolsymbol"/>
        <w:spacing w:after="0"/>
      </w:pPr>
      <w:r>
        <w:t xml:space="preserve">The </w:t>
      </w:r>
      <w:r w:rsidRPr="000D5335">
        <w:t xml:space="preserve">OLS estimates that nursing homes operated by the </w:t>
      </w:r>
      <w:r>
        <w:t xml:space="preserve">Department of Military and Veterans Affairs (DMAVA) and certain county governments may incur minimal periodic expenses in </w:t>
      </w:r>
      <w:r>
        <w:lastRenderedPageBreak/>
        <w:t>complying with the reporting and infectious disease protocol requirements outlined in the bill, as such provisions largely codify existing directives issued by the DOH.  Such facilities may also incur costs in upgrading the facility’s EHR systems, to the extent that these facilities do not currently meet the standards outlined in the bill and are not awarded grants made available for such purposes by the DOH, as provided for in the bill</w:t>
      </w:r>
      <w:r>
        <w:rPr>
          <w:spacing w:val="4"/>
        </w:rPr>
        <w:t xml:space="preserve">.  </w:t>
      </w:r>
    </w:p>
    <w:p w:rsidR="00C21EF5" w:rsidRPr="003A65D6" w:rsidRDefault="00C21EF5" w:rsidP="00C21EF5">
      <w:pPr>
        <w:pStyle w:val="StyleBulletedSymbolsymbol"/>
        <w:numPr>
          <w:ilvl w:val="0"/>
          <w:numId w:val="0"/>
        </w:numPr>
        <w:spacing w:after="0"/>
        <w:ind w:left="360" w:hanging="360"/>
      </w:pPr>
    </w:p>
    <w:p w:rsidR="00B56750" w:rsidRPr="00C21EF5" w:rsidRDefault="00B56750" w:rsidP="00C21EF5">
      <w:pPr>
        <w:pStyle w:val="StyleBulletedSymbolsymbol"/>
        <w:spacing w:after="0"/>
      </w:pPr>
      <w:r>
        <w:rPr>
          <w:szCs w:val="20"/>
        </w:rPr>
        <w:t>The University Hospital</w:t>
      </w:r>
      <w:r>
        <w:rPr>
          <w:color w:val="000000"/>
        </w:rPr>
        <w:t>, as a Level 1 trauma center and an independent non-profit legal entity that is an instrumentality of the State located in Newark, may incur certain costs in making clinical and non-clinical content experts available for consultation and support within the regional medical coordination center model established by the DOH under the bill.</w:t>
      </w:r>
    </w:p>
    <w:p w:rsidR="00C21EF5" w:rsidRPr="009A426C" w:rsidRDefault="00C21EF5" w:rsidP="00C21EF5">
      <w:pPr>
        <w:pStyle w:val="StyleBulletedSymbolsymbol"/>
        <w:numPr>
          <w:ilvl w:val="0"/>
          <w:numId w:val="0"/>
        </w:numPr>
        <w:spacing w:after="0"/>
        <w:ind w:left="360" w:hanging="360"/>
      </w:pPr>
    </w:p>
    <w:p w:rsidR="00B56750" w:rsidRDefault="00B56750" w:rsidP="00C21EF5">
      <w:pPr>
        <w:pStyle w:val="StyleBulletedSymbolsymbol"/>
        <w:spacing w:after="0"/>
      </w:pPr>
      <w:r>
        <w:t>A provision imposing penalties on LTC facilities that fail to report certain information, as required under this bill, may increase State revenues by an indeterminate amount.  As the number of facilities that may be penalized is unpredictable, the OLS is unable to determine the value of any revenue increase.</w:t>
      </w:r>
    </w:p>
    <w:p w:rsidR="00B56750" w:rsidRDefault="00B56750" w:rsidP="00B56750"/>
    <w:p w:rsidR="008877A3" w:rsidRDefault="008877A3" w:rsidP="00B56750"/>
    <w:p w:rsidR="00B56750" w:rsidRPr="00255944" w:rsidRDefault="00B56750" w:rsidP="00B56750">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B56750" w:rsidRPr="00BA41DB" w:rsidRDefault="00B56750" w:rsidP="00B56750">
      <w:pPr>
        <w:tabs>
          <w:tab w:val="left" w:pos="360"/>
          <w:tab w:val="left" w:pos="720"/>
          <w:tab w:val="left" w:pos="1080"/>
          <w:tab w:val="left" w:pos="1440"/>
          <w:tab w:val="left" w:pos="2160"/>
          <w:tab w:val="left" w:pos="2880"/>
          <w:tab w:val="left" w:pos="3600"/>
        </w:tabs>
        <w:rPr>
          <w:szCs w:val="20"/>
        </w:rPr>
      </w:pPr>
    </w:p>
    <w:p w:rsidR="00B56750" w:rsidRPr="00BA41DB" w:rsidRDefault="00B56750" w:rsidP="00B56750">
      <w:pPr>
        <w:tabs>
          <w:tab w:val="left" w:pos="360"/>
          <w:tab w:val="left" w:pos="720"/>
          <w:tab w:val="left" w:pos="1080"/>
          <w:tab w:val="left" w:pos="1440"/>
          <w:tab w:val="left" w:pos="2160"/>
          <w:tab w:val="left" w:pos="2880"/>
          <w:tab w:val="left" w:pos="3600"/>
        </w:tabs>
        <w:rPr>
          <w:szCs w:val="20"/>
        </w:rPr>
      </w:pPr>
      <w:r w:rsidRPr="00BA41DB">
        <w:rPr>
          <w:szCs w:val="20"/>
        </w:rPr>
        <w:tab/>
      </w:r>
      <w:r>
        <w:rPr>
          <w:szCs w:val="20"/>
        </w:rPr>
        <w:t>This</w:t>
      </w:r>
      <w:r w:rsidRPr="00BA41DB">
        <w:rPr>
          <w:szCs w:val="20"/>
        </w:rPr>
        <w:t xml:space="preserve"> bill establishes the </w:t>
      </w:r>
      <w:r>
        <w:rPr>
          <w:szCs w:val="20"/>
        </w:rPr>
        <w:t>LTCEOC</w:t>
      </w:r>
      <w:r w:rsidRPr="00BA41DB">
        <w:rPr>
          <w:szCs w:val="20"/>
        </w:rPr>
        <w:t xml:space="preserve"> in the </w:t>
      </w:r>
      <w:r>
        <w:rPr>
          <w:szCs w:val="20"/>
        </w:rPr>
        <w:t>DOH</w:t>
      </w:r>
      <w:r w:rsidRPr="00BA41DB">
        <w:rPr>
          <w:szCs w:val="20"/>
        </w:rPr>
        <w:t xml:space="preserve">, which will serve as the centralized command and resource center for </w:t>
      </w:r>
      <w:r>
        <w:rPr>
          <w:szCs w:val="20"/>
        </w:rPr>
        <w:t>LTC</w:t>
      </w:r>
      <w:r w:rsidRPr="00BA41DB">
        <w:rPr>
          <w:szCs w:val="20"/>
        </w:rPr>
        <w:t xml:space="preserve"> facility response efforts and communications during any declared public health emergencies affecting or likely to affect one or more </w:t>
      </w:r>
      <w:r>
        <w:rPr>
          <w:szCs w:val="20"/>
        </w:rPr>
        <w:t>LTC</w:t>
      </w:r>
      <w:r w:rsidRPr="00BA41DB">
        <w:rPr>
          <w:szCs w:val="20"/>
        </w:rPr>
        <w:t xml:space="preserve"> facilities.  The LTCEOC is to enhance and integrate with existing emergency response systems.  </w:t>
      </w:r>
    </w:p>
    <w:p w:rsidR="00B56750" w:rsidRPr="00BA41DB" w:rsidRDefault="00B56750" w:rsidP="00B56750">
      <w:pPr>
        <w:tabs>
          <w:tab w:val="left" w:pos="360"/>
          <w:tab w:val="left" w:pos="720"/>
          <w:tab w:val="left" w:pos="1080"/>
          <w:tab w:val="left" w:pos="1440"/>
          <w:tab w:val="left" w:pos="2160"/>
          <w:tab w:val="left" w:pos="2880"/>
          <w:tab w:val="left" w:pos="3600"/>
        </w:tabs>
        <w:rPr>
          <w:szCs w:val="20"/>
        </w:rPr>
      </w:pPr>
      <w:r w:rsidRPr="00BA41DB">
        <w:rPr>
          <w:szCs w:val="20"/>
        </w:rPr>
        <w:tab/>
        <w:t>The DOH will have primary responsibility for the operations of the LTCEOC, but the Department of Human Services</w:t>
      </w:r>
      <w:r>
        <w:rPr>
          <w:szCs w:val="20"/>
        </w:rPr>
        <w:t xml:space="preserve"> (DHS)</w:t>
      </w:r>
      <w:r w:rsidRPr="00BA41DB">
        <w:rPr>
          <w:szCs w:val="20"/>
        </w:rPr>
        <w:t xml:space="preserve"> and other appropriate State agencies are to provide any staff support requested by the DOH.  The DOH may additionally contract with a third party entity to provide staffing services as needed.  At a minimum, the LTCEOC will be required to have on call at all times such appropriate staff and consultants as are needed to respond to an emerging or ongoing outbreak, epidemic, or pandemic.  </w:t>
      </w:r>
    </w:p>
    <w:p w:rsidR="00B56750" w:rsidRPr="00BA41DB" w:rsidRDefault="00B56750" w:rsidP="00B56750">
      <w:pPr>
        <w:tabs>
          <w:tab w:val="left" w:pos="288"/>
          <w:tab w:val="left" w:pos="720"/>
          <w:tab w:val="left" w:pos="1080"/>
          <w:tab w:val="left" w:pos="1440"/>
          <w:tab w:val="left" w:pos="2160"/>
          <w:tab w:val="left" w:pos="2880"/>
          <w:tab w:val="left" w:pos="360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0"/>
        </w:rPr>
      </w:pPr>
      <w:r w:rsidRPr="00BA41DB">
        <w:rPr>
          <w:spacing w:val="4"/>
          <w:szCs w:val="20"/>
        </w:rPr>
        <w:tab/>
        <w:t xml:space="preserve">The primary responsibilities of the LTCEOC will include, but shall not be limited to:  </w:t>
      </w:r>
    </w:p>
    <w:p w:rsidR="00B56750" w:rsidRPr="00BA41DB" w:rsidRDefault="00B56750" w:rsidP="00B56750">
      <w:pPr>
        <w:tabs>
          <w:tab w:val="left" w:pos="288"/>
          <w:tab w:val="left" w:pos="720"/>
          <w:tab w:val="left" w:pos="1080"/>
          <w:tab w:val="left" w:pos="1440"/>
          <w:tab w:val="left" w:pos="2160"/>
          <w:tab w:val="left" w:pos="2880"/>
          <w:tab w:val="left" w:pos="360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0"/>
        </w:rPr>
      </w:pPr>
      <w:r w:rsidRPr="00BA41DB">
        <w:rPr>
          <w:spacing w:val="4"/>
          <w:szCs w:val="20"/>
        </w:rPr>
        <w:tab/>
        <w:t>(1)</w:t>
      </w:r>
      <w:r w:rsidRPr="00BA41DB">
        <w:rPr>
          <w:spacing w:val="4"/>
          <w:szCs w:val="20"/>
        </w:rPr>
        <w:tab/>
        <w:t xml:space="preserve">establishing ongoing, direct communication </w:t>
      </w:r>
      <w:r w:rsidRPr="00BA41DB">
        <w:rPr>
          <w:szCs w:val="20"/>
        </w:rPr>
        <w:t>with</w:t>
      </w:r>
      <w:r w:rsidRPr="00BA41DB">
        <w:rPr>
          <w:spacing w:val="4"/>
          <w:szCs w:val="20"/>
        </w:rPr>
        <w:t xml:space="preserve"> the owners and staff of </w:t>
      </w:r>
      <w:r>
        <w:rPr>
          <w:spacing w:val="4"/>
          <w:szCs w:val="20"/>
        </w:rPr>
        <w:t>LTC</w:t>
      </w:r>
      <w:r w:rsidRPr="00BA41DB">
        <w:rPr>
          <w:spacing w:val="4"/>
          <w:szCs w:val="20"/>
        </w:rPr>
        <w:t xml:space="preserve"> facilities and with associated entities during</w:t>
      </w:r>
      <w:r w:rsidRPr="00BA41DB">
        <w:rPr>
          <w:szCs w:val="20"/>
        </w:rPr>
        <w:t xml:space="preserve"> a public health emergency</w:t>
      </w:r>
      <w:r w:rsidRPr="00BA41DB">
        <w:rPr>
          <w:spacing w:val="4"/>
          <w:szCs w:val="20"/>
        </w:rPr>
        <w:t>, which may include the use of</w:t>
      </w:r>
      <w:r w:rsidRPr="00BA41DB">
        <w:rPr>
          <w:szCs w:val="20"/>
        </w:rPr>
        <w:t xml:space="preserve"> existing communication mechanisms and feedback loops in the DOH’s Office of Disaster Resilience or Health Systems branch, as appropriate;</w:t>
      </w:r>
    </w:p>
    <w:p w:rsidR="00B56750" w:rsidRPr="00BA41DB" w:rsidRDefault="00B56750" w:rsidP="00B56750">
      <w:pPr>
        <w:tabs>
          <w:tab w:val="left" w:pos="288"/>
          <w:tab w:val="left" w:pos="360"/>
          <w:tab w:val="left" w:pos="720"/>
          <w:tab w:val="left" w:pos="1080"/>
          <w:tab w:val="left" w:pos="1440"/>
          <w:tab w:val="left" w:pos="2160"/>
          <w:tab w:val="left" w:pos="2880"/>
          <w:tab w:val="left" w:pos="360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0"/>
        </w:rPr>
      </w:pPr>
      <w:r w:rsidRPr="00BA41DB">
        <w:rPr>
          <w:spacing w:val="4"/>
          <w:szCs w:val="20"/>
        </w:rPr>
        <w:tab/>
      </w:r>
      <w:r w:rsidR="008877A3">
        <w:rPr>
          <w:szCs w:val="20"/>
        </w:rPr>
        <w:t>(2)</w:t>
      </w:r>
      <w:r w:rsidR="008877A3">
        <w:rPr>
          <w:szCs w:val="20"/>
        </w:rPr>
        <w:tab/>
      </w:r>
      <w:r w:rsidRPr="00BA41DB">
        <w:rPr>
          <w:szCs w:val="20"/>
        </w:rPr>
        <w:t xml:space="preserve">providing technical assistance to the </w:t>
      </w:r>
      <w:r>
        <w:rPr>
          <w:szCs w:val="20"/>
        </w:rPr>
        <w:t>LTC</w:t>
      </w:r>
      <w:r w:rsidRPr="00BA41DB">
        <w:rPr>
          <w:szCs w:val="20"/>
        </w:rPr>
        <w:t xml:space="preserve"> industry during the public health emergency, which may be facilitated through local health departments;</w:t>
      </w:r>
    </w:p>
    <w:p w:rsidR="00B56750" w:rsidRPr="00BA41DB" w:rsidRDefault="008877A3" w:rsidP="00B56750">
      <w:pPr>
        <w:tabs>
          <w:tab w:val="left" w:pos="288"/>
          <w:tab w:val="left" w:pos="360"/>
          <w:tab w:val="left" w:pos="720"/>
          <w:tab w:val="left" w:pos="1080"/>
          <w:tab w:val="left" w:pos="1440"/>
          <w:tab w:val="left" w:pos="2160"/>
          <w:tab w:val="left" w:pos="2880"/>
          <w:tab w:val="left" w:pos="360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0"/>
        </w:rPr>
      </w:pPr>
      <w:r>
        <w:rPr>
          <w:szCs w:val="20"/>
        </w:rPr>
        <w:tab/>
        <w:t>(3)</w:t>
      </w:r>
      <w:r>
        <w:rPr>
          <w:szCs w:val="20"/>
        </w:rPr>
        <w:tab/>
      </w:r>
      <w:r w:rsidR="00B56750" w:rsidRPr="00BA41DB">
        <w:rPr>
          <w:szCs w:val="20"/>
        </w:rPr>
        <w:t xml:space="preserve">ensuring supplies and equipment needed to respond to the public health emergency are acquired and distributed in an effective and efficient manner among </w:t>
      </w:r>
      <w:r w:rsidR="00B56750">
        <w:rPr>
          <w:szCs w:val="20"/>
        </w:rPr>
        <w:t>LTC</w:t>
      </w:r>
      <w:r w:rsidR="00B56750" w:rsidRPr="00BA41DB">
        <w:rPr>
          <w:szCs w:val="20"/>
        </w:rPr>
        <w:t xml:space="preserve"> facilities; </w:t>
      </w:r>
    </w:p>
    <w:p w:rsidR="00B56750" w:rsidRPr="00BA41DB" w:rsidRDefault="008877A3" w:rsidP="00B56750">
      <w:pPr>
        <w:tabs>
          <w:tab w:val="left" w:pos="288"/>
          <w:tab w:val="left" w:pos="360"/>
          <w:tab w:val="left" w:pos="720"/>
          <w:tab w:val="left" w:pos="1080"/>
          <w:tab w:val="left" w:pos="1440"/>
          <w:tab w:val="left" w:pos="2160"/>
          <w:tab w:val="left" w:pos="2880"/>
          <w:tab w:val="left" w:pos="360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0"/>
        </w:rPr>
      </w:pPr>
      <w:r>
        <w:rPr>
          <w:szCs w:val="20"/>
        </w:rPr>
        <w:tab/>
        <w:t>(4)</w:t>
      </w:r>
      <w:r>
        <w:rPr>
          <w:szCs w:val="20"/>
        </w:rPr>
        <w:tab/>
      </w:r>
      <w:r w:rsidR="00B56750" w:rsidRPr="00BA41DB">
        <w:rPr>
          <w:szCs w:val="20"/>
        </w:rPr>
        <w:t>utilizing the National Healthcare Safety Network (NHSN) database managed by the federal Centers for Disease Control and Prevention to identify shortages in staff and necessary equipment, monitor facility capacity levels, and track positive cases and deaths resulting from infectious diseases; and</w:t>
      </w:r>
    </w:p>
    <w:p w:rsidR="00B56750" w:rsidRPr="00BA41DB" w:rsidRDefault="00B56750" w:rsidP="00B56750">
      <w:pPr>
        <w:tabs>
          <w:tab w:val="left" w:pos="288"/>
          <w:tab w:val="left" w:pos="720"/>
          <w:tab w:val="left" w:pos="1080"/>
          <w:tab w:val="left" w:pos="1440"/>
          <w:tab w:val="left" w:pos="2160"/>
          <w:tab w:val="left" w:pos="2880"/>
          <w:tab w:val="left" w:pos="360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0"/>
        </w:rPr>
      </w:pPr>
      <w:r w:rsidRPr="00BA41DB">
        <w:rPr>
          <w:szCs w:val="20"/>
        </w:rPr>
        <w:tab/>
        <w:t>(5)</w:t>
      </w:r>
      <w:r w:rsidRPr="00BA41DB">
        <w:rPr>
          <w:szCs w:val="20"/>
        </w:rPr>
        <w:tab/>
        <w:t xml:space="preserve">ensuring all policies and guidance developed by the DOH in response to the public health emergency are effectively communicated to all </w:t>
      </w:r>
      <w:r>
        <w:rPr>
          <w:szCs w:val="20"/>
        </w:rPr>
        <w:t>LTC</w:t>
      </w:r>
      <w:r w:rsidRPr="00BA41DB">
        <w:rPr>
          <w:szCs w:val="20"/>
        </w:rPr>
        <w:t xml:space="preserve"> industry stakeholders.</w:t>
      </w:r>
    </w:p>
    <w:p w:rsidR="00B56750" w:rsidRPr="00BA41DB" w:rsidRDefault="00B56750" w:rsidP="00B56750">
      <w:pPr>
        <w:tabs>
          <w:tab w:val="left" w:pos="360"/>
          <w:tab w:val="left" w:pos="720"/>
          <w:tab w:val="left" w:pos="1080"/>
          <w:tab w:val="left" w:pos="1440"/>
          <w:tab w:val="left" w:pos="2160"/>
          <w:tab w:val="left" w:pos="2880"/>
          <w:tab w:val="left" w:pos="3600"/>
        </w:tabs>
        <w:rPr>
          <w:szCs w:val="20"/>
        </w:rPr>
      </w:pPr>
      <w:r w:rsidRPr="00BA41DB">
        <w:rPr>
          <w:szCs w:val="20"/>
        </w:rPr>
        <w:tab/>
      </w:r>
      <w:r>
        <w:rPr>
          <w:szCs w:val="20"/>
        </w:rPr>
        <w:t xml:space="preserve">Additionally, the bill requires </w:t>
      </w:r>
      <w:r w:rsidRPr="00BA41DB">
        <w:rPr>
          <w:szCs w:val="20"/>
        </w:rPr>
        <w:t>the LTCEOC</w:t>
      </w:r>
      <w:r>
        <w:rPr>
          <w:szCs w:val="20"/>
        </w:rPr>
        <w:t xml:space="preserve"> to: 1)</w:t>
      </w:r>
      <w:r w:rsidRPr="00BA41DB">
        <w:rPr>
          <w:szCs w:val="20"/>
        </w:rPr>
        <w:t xml:space="preserve"> in consultation with other</w:t>
      </w:r>
      <w:r>
        <w:rPr>
          <w:szCs w:val="20"/>
        </w:rPr>
        <w:t xml:space="preserve"> State offices, </w:t>
      </w:r>
      <w:r w:rsidRPr="00BA41DB">
        <w:rPr>
          <w:szCs w:val="20"/>
        </w:rPr>
        <w:t xml:space="preserve">determine whether it is necessary to establish regional hubs capable of accepting </w:t>
      </w:r>
      <w:r>
        <w:rPr>
          <w:szCs w:val="20"/>
        </w:rPr>
        <w:t xml:space="preserve">LTC </w:t>
      </w:r>
      <w:r w:rsidRPr="00BA41DB">
        <w:rPr>
          <w:szCs w:val="20"/>
        </w:rPr>
        <w:t>patients who have, and are capable of transmitting, the infectious disease and who</w:t>
      </w:r>
      <w:r>
        <w:rPr>
          <w:szCs w:val="20"/>
        </w:rPr>
        <w:t xml:space="preserve"> do not require hospitalization; and 2) </w:t>
      </w:r>
      <w:r w:rsidRPr="00BA41DB">
        <w:rPr>
          <w:szCs w:val="20"/>
        </w:rPr>
        <w:t xml:space="preserve">actively monitor capacity levels at </w:t>
      </w:r>
      <w:r>
        <w:rPr>
          <w:szCs w:val="20"/>
        </w:rPr>
        <w:t>LTC</w:t>
      </w:r>
      <w:r w:rsidRPr="00BA41DB">
        <w:rPr>
          <w:szCs w:val="20"/>
        </w:rPr>
        <w:t xml:space="preserve"> facilities</w:t>
      </w:r>
      <w:r>
        <w:rPr>
          <w:szCs w:val="20"/>
        </w:rPr>
        <w:t xml:space="preserve"> and regional hubs</w:t>
      </w:r>
      <w:r w:rsidRPr="00A251FA">
        <w:rPr>
          <w:szCs w:val="20"/>
        </w:rPr>
        <w:t xml:space="preserve"> </w:t>
      </w:r>
      <w:r>
        <w:rPr>
          <w:szCs w:val="20"/>
        </w:rPr>
        <w:t>i</w:t>
      </w:r>
      <w:r w:rsidRPr="00BA41DB">
        <w:rPr>
          <w:szCs w:val="20"/>
        </w:rPr>
        <w:t>n the event of a surge in number of identified cases of the infectious disease</w:t>
      </w:r>
      <w:r>
        <w:rPr>
          <w:szCs w:val="20"/>
        </w:rPr>
        <w:t>.</w:t>
      </w:r>
    </w:p>
    <w:p w:rsidR="00B56750" w:rsidRPr="00BA41DB" w:rsidRDefault="00B56750" w:rsidP="00B56750">
      <w:pPr>
        <w:tabs>
          <w:tab w:val="left" w:pos="288"/>
          <w:tab w:val="left" w:pos="720"/>
          <w:tab w:val="left" w:pos="1080"/>
          <w:tab w:val="left" w:pos="1440"/>
          <w:tab w:val="left" w:pos="2160"/>
          <w:tab w:val="left" w:pos="2880"/>
          <w:tab w:val="left" w:pos="360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lbertus Extra Bold" w:hAnsi="Albertus Extra Bold"/>
          <w:b/>
          <w:spacing w:val="4"/>
          <w:szCs w:val="20"/>
          <w:vertAlign w:val="superscript"/>
        </w:rPr>
      </w:pPr>
      <w:r w:rsidRPr="00BA41DB">
        <w:rPr>
          <w:szCs w:val="20"/>
        </w:rPr>
        <w:lastRenderedPageBreak/>
        <w:tab/>
      </w:r>
      <w:r>
        <w:rPr>
          <w:szCs w:val="20"/>
        </w:rPr>
        <w:t>The</w:t>
      </w:r>
      <w:r w:rsidRPr="00BA41DB">
        <w:rPr>
          <w:szCs w:val="20"/>
        </w:rPr>
        <w:t xml:space="preserve"> bill requires the DOH</w:t>
      </w:r>
      <w:r>
        <w:rPr>
          <w:szCs w:val="20"/>
        </w:rPr>
        <w:t xml:space="preserve"> to:</w:t>
      </w:r>
      <w:r w:rsidRPr="00BA41DB">
        <w:rPr>
          <w:szCs w:val="20"/>
        </w:rPr>
        <w:t xml:space="preserve"> </w:t>
      </w:r>
      <w:r>
        <w:rPr>
          <w:szCs w:val="20"/>
        </w:rPr>
        <w:t xml:space="preserve"> 1) </w:t>
      </w:r>
      <w:r w:rsidRPr="00BA41DB">
        <w:rPr>
          <w:szCs w:val="20"/>
        </w:rPr>
        <w:t>institute</w:t>
      </w:r>
      <w:r>
        <w:rPr>
          <w:szCs w:val="20"/>
        </w:rPr>
        <w:t>, and to identify the appropriate sources of funding to implement,</w:t>
      </w:r>
      <w:r w:rsidRPr="00BA41DB">
        <w:rPr>
          <w:szCs w:val="20"/>
        </w:rPr>
        <w:t xml:space="preserve"> a regional medical coordination center model</w:t>
      </w:r>
      <w:r>
        <w:rPr>
          <w:szCs w:val="20"/>
        </w:rPr>
        <w:t>, which must include the Level 1 trauma center in a region,</w:t>
      </w:r>
      <w:r w:rsidRPr="00BA41DB">
        <w:rPr>
          <w:szCs w:val="20"/>
        </w:rPr>
        <w:t xml:space="preserve"> for disaster response to facilitate regional capacity coordination and communication in the event of a public health emergency involving a communicable disease outbreak, epidemic, or pandemic</w:t>
      </w:r>
      <w:r>
        <w:rPr>
          <w:szCs w:val="20"/>
        </w:rPr>
        <w:t xml:space="preserve">; 2) </w:t>
      </w:r>
      <w:r w:rsidRPr="00BA41DB">
        <w:rPr>
          <w:szCs w:val="20"/>
        </w:rPr>
        <w:t xml:space="preserve">establish a mechanism for hospitals to identify </w:t>
      </w:r>
      <w:r>
        <w:rPr>
          <w:szCs w:val="20"/>
        </w:rPr>
        <w:t>LTC</w:t>
      </w:r>
      <w:r w:rsidRPr="00BA41DB">
        <w:rPr>
          <w:szCs w:val="20"/>
        </w:rPr>
        <w:t xml:space="preserve"> facilities that are currently accepting residents for admission</w:t>
      </w:r>
      <w:r>
        <w:rPr>
          <w:szCs w:val="20"/>
        </w:rPr>
        <w:t xml:space="preserve"> or readmission to the facility; 3)</w:t>
      </w:r>
      <w:r w:rsidRPr="00BA41DB">
        <w:rPr>
          <w:spacing w:val="4"/>
          <w:szCs w:val="20"/>
        </w:rPr>
        <w:t xml:space="preserve"> make grants available to </w:t>
      </w:r>
      <w:r>
        <w:rPr>
          <w:spacing w:val="4"/>
          <w:szCs w:val="20"/>
        </w:rPr>
        <w:t>LTC</w:t>
      </w:r>
      <w:r w:rsidRPr="00BA41DB">
        <w:rPr>
          <w:spacing w:val="4"/>
          <w:szCs w:val="20"/>
        </w:rPr>
        <w:t xml:space="preserve"> facilities to provide assistance in implementing or upgradin</w:t>
      </w:r>
      <w:r>
        <w:rPr>
          <w:spacing w:val="4"/>
          <w:szCs w:val="20"/>
        </w:rPr>
        <w:t>g to an EHR</w:t>
      </w:r>
      <w:r w:rsidRPr="00BA41DB">
        <w:rPr>
          <w:spacing w:val="4"/>
          <w:szCs w:val="20"/>
        </w:rPr>
        <w:t xml:space="preserve"> system</w:t>
      </w:r>
      <w:r>
        <w:rPr>
          <w:spacing w:val="4"/>
          <w:szCs w:val="20"/>
        </w:rPr>
        <w:t>, subject to the availability of funding; and 4)</w:t>
      </w:r>
      <w:r>
        <w:rPr>
          <w:szCs w:val="20"/>
        </w:rPr>
        <w:t xml:space="preserve"> </w:t>
      </w:r>
      <w:r w:rsidRPr="00BA41DB">
        <w:rPr>
          <w:szCs w:val="20"/>
        </w:rPr>
        <w:t xml:space="preserve">prepare and submit a report to the Governor and the Legislature </w:t>
      </w:r>
      <w:r w:rsidRPr="00BA41DB">
        <w:rPr>
          <w:spacing w:val="4"/>
          <w:szCs w:val="20"/>
        </w:rPr>
        <w:t xml:space="preserve">concerning the implementation the bill and any recommendations for </w:t>
      </w:r>
      <w:r>
        <w:rPr>
          <w:spacing w:val="4"/>
          <w:szCs w:val="20"/>
        </w:rPr>
        <w:t>action</w:t>
      </w:r>
      <w:r w:rsidRPr="00BA41DB">
        <w:rPr>
          <w:spacing w:val="4"/>
          <w:szCs w:val="20"/>
        </w:rPr>
        <w:t>.</w:t>
      </w:r>
    </w:p>
    <w:p w:rsidR="00B56750" w:rsidRPr="002113AC" w:rsidRDefault="00B56750" w:rsidP="00B56750">
      <w:pPr>
        <w:tabs>
          <w:tab w:val="left" w:pos="288"/>
          <w:tab w:val="left" w:pos="720"/>
          <w:tab w:val="left" w:pos="1080"/>
          <w:tab w:val="left" w:pos="1440"/>
          <w:tab w:val="left" w:pos="2160"/>
          <w:tab w:val="left" w:pos="2880"/>
          <w:tab w:val="left" w:pos="360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0"/>
        </w:rPr>
      </w:pPr>
      <w:r w:rsidRPr="00BA41DB">
        <w:rPr>
          <w:szCs w:val="20"/>
        </w:rPr>
        <w:tab/>
      </w:r>
      <w:r>
        <w:rPr>
          <w:szCs w:val="20"/>
        </w:rPr>
        <w:t xml:space="preserve">The bill requires LTC facilities, </w:t>
      </w:r>
      <w:r w:rsidRPr="00BA41DB">
        <w:rPr>
          <w:szCs w:val="20"/>
        </w:rPr>
        <w:t xml:space="preserve">during an infectious disease outbreak occurring at the </w:t>
      </w:r>
      <w:r>
        <w:rPr>
          <w:szCs w:val="20"/>
        </w:rPr>
        <w:t>LTC</w:t>
      </w:r>
      <w:r w:rsidRPr="00BA41DB">
        <w:rPr>
          <w:szCs w:val="20"/>
        </w:rPr>
        <w:t xml:space="preserve"> facility or an epidemic or pandemic affecting or likely to affect the long-term care facility, to</w:t>
      </w:r>
      <w:r>
        <w:rPr>
          <w:szCs w:val="20"/>
        </w:rPr>
        <w:t>: 1)</w:t>
      </w:r>
      <w:r w:rsidRPr="00BA41DB">
        <w:rPr>
          <w:szCs w:val="20"/>
        </w:rPr>
        <w:t xml:space="preserve"> separate residents who have tested positive for or who are suspected of having contracted the infectious disease from</w:t>
      </w:r>
      <w:r>
        <w:rPr>
          <w:szCs w:val="20"/>
        </w:rPr>
        <w:t xml:space="preserve"> other</w:t>
      </w:r>
      <w:r w:rsidRPr="00BA41DB">
        <w:rPr>
          <w:szCs w:val="20"/>
        </w:rPr>
        <w:t xml:space="preserve"> residents </w:t>
      </w:r>
      <w:r>
        <w:rPr>
          <w:szCs w:val="20"/>
        </w:rPr>
        <w:t>and to comply with any related guidance or protocols;  and 2)</w:t>
      </w:r>
      <w:r w:rsidRPr="00BA41DB">
        <w:rPr>
          <w:szCs w:val="20"/>
        </w:rPr>
        <w:t xml:space="preserve"> report</w:t>
      </w:r>
      <w:r>
        <w:rPr>
          <w:szCs w:val="20"/>
        </w:rPr>
        <w:t xml:space="preserve"> certain information regarding the facility’s response to the infectious disease</w:t>
      </w:r>
      <w:r w:rsidRPr="00BA41DB">
        <w:rPr>
          <w:szCs w:val="20"/>
        </w:rPr>
        <w:t xml:space="preserve"> to the NHSN da</w:t>
      </w:r>
      <w:r>
        <w:rPr>
          <w:szCs w:val="20"/>
        </w:rPr>
        <w:t>tabase, at least twice per week, or otherwise</w:t>
      </w:r>
      <w:r w:rsidRPr="007B0A28">
        <w:rPr>
          <w:szCs w:val="20"/>
        </w:rPr>
        <w:t xml:space="preserve"> </w:t>
      </w:r>
      <w:r w:rsidRPr="00BA41DB">
        <w:rPr>
          <w:szCs w:val="20"/>
        </w:rPr>
        <w:t>be liable to a civil penalty of $2,000 for each report that is not submitted</w:t>
      </w:r>
      <w:r>
        <w:rPr>
          <w:szCs w:val="20"/>
        </w:rPr>
        <w:t xml:space="preserve">.  Outside of an infectious disease outbreak, an LTC is required to 1) </w:t>
      </w:r>
      <w:r w:rsidRPr="00BA41DB">
        <w:rPr>
          <w:spacing w:val="4"/>
          <w:szCs w:val="20"/>
        </w:rPr>
        <w:t xml:space="preserve">include in the facility’s statutorily-required outbreak response plan a documented strategy for securing more staff </w:t>
      </w:r>
      <w:r>
        <w:rPr>
          <w:spacing w:val="4"/>
          <w:szCs w:val="20"/>
        </w:rPr>
        <w:t>in the event that an outbreak of an infectious disease affects</w:t>
      </w:r>
      <w:r w:rsidRPr="00BA41DB">
        <w:rPr>
          <w:spacing w:val="4"/>
          <w:szCs w:val="20"/>
        </w:rPr>
        <w:t xml:space="preserve"> staffing le</w:t>
      </w:r>
      <w:r>
        <w:rPr>
          <w:spacing w:val="4"/>
          <w:szCs w:val="20"/>
        </w:rPr>
        <w:t>vels at the facility; and 2)</w:t>
      </w:r>
      <w:r>
        <w:rPr>
          <w:szCs w:val="20"/>
        </w:rPr>
        <w:t xml:space="preserve"> </w:t>
      </w:r>
      <w:r w:rsidRPr="00BA41DB">
        <w:rPr>
          <w:spacing w:val="4"/>
          <w:szCs w:val="20"/>
        </w:rPr>
        <w:t xml:space="preserve">implement or upgrade to an </w:t>
      </w:r>
      <w:r>
        <w:rPr>
          <w:spacing w:val="4"/>
          <w:szCs w:val="20"/>
        </w:rPr>
        <w:t>EHR</w:t>
      </w:r>
      <w:r w:rsidRPr="00BA41DB">
        <w:rPr>
          <w:spacing w:val="4"/>
          <w:szCs w:val="20"/>
        </w:rPr>
        <w:t xml:space="preserve"> system</w:t>
      </w:r>
      <w:r>
        <w:rPr>
          <w:spacing w:val="4"/>
          <w:szCs w:val="20"/>
        </w:rPr>
        <w:t>, as described in the bill.</w:t>
      </w:r>
      <w:r>
        <w:rPr>
          <w:szCs w:val="20"/>
        </w:rPr>
        <w:t xml:space="preserve">  D</w:t>
      </w:r>
      <w:r w:rsidRPr="00BA41DB">
        <w:rPr>
          <w:szCs w:val="20"/>
        </w:rPr>
        <w:t xml:space="preserve">uring each </w:t>
      </w:r>
      <w:r>
        <w:rPr>
          <w:szCs w:val="20"/>
        </w:rPr>
        <w:t>influenza season, LTC</w:t>
      </w:r>
      <w:r w:rsidRPr="00BA41DB">
        <w:rPr>
          <w:szCs w:val="20"/>
        </w:rPr>
        <w:t xml:space="preserve"> facilities and home health employers will be required to report to the NHSN database </w:t>
      </w:r>
      <w:r>
        <w:rPr>
          <w:szCs w:val="20"/>
        </w:rPr>
        <w:t xml:space="preserve">certain information regarding the receipt of the influenza vaccination by employees.  </w:t>
      </w:r>
    </w:p>
    <w:p w:rsidR="00B56750" w:rsidRDefault="00B56750" w:rsidP="00B56750">
      <w:pPr>
        <w:tabs>
          <w:tab w:val="left" w:pos="360"/>
          <w:tab w:val="left" w:pos="720"/>
          <w:tab w:val="left" w:pos="1440"/>
          <w:tab w:val="left" w:pos="2160"/>
          <w:tab w:val="left" w:pos="2880"/>
          <w:tab w:val="left" w:pos="3600"/>
          <w:tab w:val="left" w:pos="4320"/>
          <w:tab w:val="left" w:pos="5040"/>
        </w:tabs>
      </w:pPr>
    </w:p>
    <w:p w:rsidR="00B56750" w:rsidRDefault="00B56750" w:rsidP="00B56750">
      <w:pPr>
        <w:tabs>
          <w:tab w:val="left" w:pos="360"/>
          <w:tab w:val="left" w:pos="720"/>
          <w:tab w:val="left" w:pos="1440"/>
          <w:tab w:val="left" w:pos="2160"/>
          <w:tab w:val="left" w:pos="2880"/>
          <w:tab w:val="left" w:pos="3600"/>
          <w:tab w:val="left" w:pos="4320"/>
          <w:tab w:val="left" w:pos="5040"/>
        </w:tabs>
      </w:pPr>
    </w:p>
    <w:p w:rsidR="00B56750" w:rsidRDefault="00B56750" w:rsidP="00B56750">
      <w:pPr>
        <w:pStyle w:val="SectionHeading"/>
        <w:tabs>
          <w:tab w:val="left" w:pos="360"/>
          <w:tab w:val="left" w:pos="720"/>
          <w:tab w:val="left" w:pos="1440"/>
          <w:tab w:val="left" w:pos="2160"/>
          <w:tab w:val="left" w:pos="2880"/>
          <w:tab w:val="left" w:pos="3600"/>
          <w:tab w:val="left" w:pos="4320"/>
          <w:tab w:val="left" w:pos="5040"/>
        </w:tabs>
      </w:pPr>
      <w:r>
        <w:t>FISCAL ANALYSIS</w:t>
      </w:r>
    </w:p>
    <w:p w:rsidR="00B56750" w:rsidRDefault="00B56750" w:rsidP="00B56750">
      <w:pPr>
        <w:tabs>
          <w:tab w:val="left" w:pos="360"/>
          <w:tab w:val="left" w:pos="720"/>
          <w:tab w:val="left" w:pos="1440"/>
          <w:tab w:val="left" w:pos="2160"/>
          <w:tab w:val="left" w:pos="2880"/>
          <w:tab w:val="left" w:pos="3600"/>
          <w:tab w:val="left" w:pos="4320"/>
          <w:tab w:val="left" w:pos="5040"/>
        </w:tabs>
      </w:pPr>
    </w:p>
    <w:p w:rsidR="00B56750" w:rsidRDefault="00B56750" w:rsidP="00B56750">
      <w:pPr>
        <w:pStyle w:val="InterSectionHeading"/>
        <w:tabs>
          <w:tab w:val="left" w:pos="720"/>
          <w:tab w:val="left" w:pos="1440"/>
          <w:tab w:val="left" w:pos="2160"/>
          <w:tab w:val="left" w:pos="2880"/>
          <w:tab w:val="left" w:pos="3600"/>
          <w:tab w:val="left" w:pos="4320"/>
          <w:tab w:val="left" w:pos="5040"/>
        </w:tabs>
      </w:pPr>
      <w:r>
        <w:t>EXECUTIVE BRANCH</w:t>
      </w:r>
    </w:p>
    <w:p w:rsidR="00B56750" w:rsidRDefault="00B56750" w:rsidP="00B56750">
      <w:pPr>
        <w:tabs>
          <w:tab w:val="left" w:pos="360"/>
          <w:tab w:val="left" w:pos="720"/>
          <w:tab w:val="left" w:pos="1440"/>
          <w:tab w:val="left" w:pos="2160"/>
          <w:tab w:val="left" w:pos="2880"/>
          <w:tab w:val="left" w:pos="3600"/>
          <w:tab w:val="left" w:pos="4320"/>
          <w:tab w:val="left" w:pos="5040"/>
        </w:tabs>
      </w:pPr>
    </w:p>
    <w:p w:rsidR="00B56750" w:rsidRDefault="00B56750" w:rsidP="00B56750">
      <w:pPr>
        <w:tabs>
          <w:tab w:val="left" w:pos="360"/>
          <w:tab w:val="left" w:pos="720"/>
          <w:tab w:val="left" w:pos="1440"/>
          <w:tab w:val="left" w:pos="2160"/>
          <w:tab w:val="left" w:pos="2880"/>
          <w:tab w:val="left" w:pos="3600"/>
          <w:tab w:val="left" w:pos="4320"/>
          <w:tab w:val="left" w:pos="5040"/>
        </w:tabs>
      </w:pPr>
      <w:r>
        <w:tab/>
        <w:t xml:space="preserve">None received. </w:t>
      </w:r>
    </w:p>
    <w:p w:rsidR="00B56750" w:rsidRDefault="00B56750" w:rsidP="00B56750">
      <w:pPr>
        <w:tabs>
          <w:tab w:val="left" w:pos="360"/>
          <w:tab w:val="left" w:pos="720"/>
          <w:tab w:val="left" w:pos="1440"/>
          <w:tab w:val="left" w:pos="2160"/>
          <w:tab w:val="left" w:pos="2880"/>
          <w:tab w:val="left" w:pos="3600"/>
          <w:tab w:val="left" w:pos="4320"/>
          <w:tab w:val="left" w:pos="5040"/>
        </w:tabs>
      </w:pPr>
    </w:p>
    <w:p w:rsidR="00B56750" w:rsidRDefault="00B56750" w:rsidP="00B56750">
      <w:pPr>
        <w:pStyle w:val="InterSectionHeading"/>
        <w:tabs>
          <w:tab w:val="left" w:pos="720"/>
          <w:tab w:val="left" w:pos="1440"/>
          <w:tab w:val="left" w:pos="2160"/>
          <w:tab w:val="left" w:pos="2880"/>
          <w:tab w:val="left" w:pos="3600"/>
          <w:tab w:val="left" w:pos="4320"/>
          <w:tab w:val="left" w:pos="5040"/>
        </w:tabs>
      </w:pPr>
      <w:r>
        <w:t>OFFICE OF LEGISLATIVE SERVICES</w:t>
      </w:r>
    </w:p>
    <w:p w:rsidR="00B56750" w:rsidRDefault="00B56750" w:rsidP="00B56750">
      <w:pPr>
        <w:tabs>
          <w:tab w:val="left" w:pos="360"/>
          <w:tab w:val="left" w:pos="720"/>
          <w:tab w:val="left" w:pos="1440"/>
          <w:tab w:val="left" w:pos="2160"/>
          <w:tab w:val="left" w:pos="2880"/>
          <w:tab w:val="left" w:pos="3600"/>
          <w:tab w:val="left" w:pos="4320"/>
          <w:tab w:val="left" w:pos="5040"/>
        </w:tabs>
      </w:pPr>
    </w:p>
    <w:p w:rsidR="00B56750" w:rsidRPr="000D5335" w:rsidRDefault="00B56750" w:rsidP="00B56750">
      <w:pPr>
        <w:tabs>
          <w:tab w:val="left" w:pos="360"/>
          <w:tab w:val="left" w:pos="720"/>
          <w:tab w:val="left" w:pos="1440"/>
          <w:tab w:val="left" w:pos="2160"/>
          <w:tab w:val="left" w:pos="2880"/>
          <w:tab w:val="left" w:pos="3600"/>
          <w:tab w:val="left" w:pos="4320"/>
          <w:tab w:val="left" w:pos="5040"/>
        </w:tabs>
      </w:pPr>
      <w:r>
        <w:tab/>
        <w:t>The OLS estimates that this bill may result in an indeterminate increase in annual costs</w:t>
      </w:r>
      <w:r>
        <w:rPr>
          <w:color w:val="1F497D"/>
        </w:rPr>
        <w:t xml:space="preserve"> </w:t>
      </w:r>
      <w:r>
        <w:t xml:space="preserve">incurred by the DOH in establishing the LTCEOC and in fulfilling the LTCEOC's duties, as outlined in the bill.  These cost will be minimized to the extent that the department can: 1) </w:t>
      </w:r>
      <w:r w:rsidRPr="000D5335">
        <w:t xml:space="preserve">reallocate resources from existing entities, such as the DOH's Office of Disaster Resilience or Health Systems branch; 2) request and receive staff support from the </w:t>
      </w:r>
      <w:r>
        <w:t>DHS</w:t>
      </w:r>
      <w:r w:rsidRPr="000D5335">
        <w:t xml:space="preserve"> or other State agencies, as provided for in the bill; and 3) use existing communications mechanisms, as well as any overlap with current department duties, to fulfill the provisions of the bill.  </w:t>
      </w:r>
      <w:r>
        <w:t>The OLS notes that any costs associated with the LTCEOC will be limited to expenses realized during a public health emergency affecting or likely to affect one or more LTC facilities, the trigger for making the LTCEOC operational.</w:t>
      </w:r>
    </w:p>
    <w:p w:rsidR="00B56750" w:rsidRDefault="00B56750" w:rsidP="00B56750">
      <w:pPr>
        <w:pStyle w:val="StyleBulletedSymbolsymbol"/>
        <w:numPr>
          <w:ilvl w:val="0"/>
          <w:numId w:val="0"/>
        </w:numPr>
        <w:spacing w:after="0"/>
        <w:rPr>
          <w:szCs w:val="20"/>
        </w:rPr>
      </w:pPr>
      <w:r>
        <w:t xml:space="preserve">      </w:t>
      </w:r>
      <w:r w:rsidRPr="000D5335">
        <w:t>The OLS finds that the DOH may realize certain one-time cost increases under the bill in</w:t>
      </w:r>
      <w:r>
        <w:t>:</w:t>
      </w:r>
      <w:r w:rsidRPr="000D5335">
        <w:t xml:space="preserve"> instituting a regional medical c</w:t>
      </w:r>
      <w:r>
        <w:t>oordination center model; establishing a mechanism for hospitals to identify LTC facilities receiving admissions; providing grants to LTC facilities regarding EHR systems; and complying with the reporting requirements established under the bill</w:t>
      </w:r>
      <w:r w:rsidRPr="000D5335">
        <w:rPr>
          <w:spacing w:val="4"/>
        </w:rPr>
        <w:t>.</w:t>
      </w:r>
      <w:r w:rsidRPr="00A251FA">
        <w:rPr>
          <w:szCs w:val="20"/>
        </w:rPr>
        <w:t xml:space="preserve"> </w:t>
      </w:r>
      <w:r>
        <w:rPr>
          <w:szCs w:val="20"/>
        </w:rPr>
        <w:t xml:space="preserve"> The bill provides for certain provisions that may minimize or eliminate some of the department’s expenses under the bill.  For example, the DOH is authorized to identify and use non-State funds to </w:t>
      </w:r>
      <w:r w:rsidRPr="00BA41DB">
        <w:rPr>
          <w:szCs w:val="20"/>
        </w:rPr>
        <w:t>implement the regional medical coordination center model</w:t>
      </w:r>
      <w:r>
        <w:rPr>
          <w:szCs w:val="20"/>
        </w:rPr>
        <w:t xml:space="preserve">.  In addition, grants for EHR systems are subject to available funding.  </w:t>
      </w:r>
    </w:p>
    <w:p w:rsidR="00B56750" w:rsidRDefault="00B56750" w:rsidP="00B56750">
      <w:pPr>
        <w:pStyle w:val="StyleBulletedSymbolsymbol"/>
        <w:numPr>
          <w:ilvl w:val="0"/>
          <w:numId w:val="0"/>
        </w:numPr>
        <w:spacing w:after="0"/>
      </w:pPr>
      <w:r>
        <w:lastRenderedPageBreak/>
        <w:t xml:space="preserve">      </w:t>
      </w:r>
      <w:r w:rsidRPr="000D5335">
        <w:t xml:space="preserve">The OLS estimates that nursing homes operated by the </w:t>
      </w:r>
      <w:r>
        <w:t>DMAVA and certain county governments may incur minimal expenses in complying with the reporting and infectious disease protocol requirements outlined in the bill, as such provisions largely codify existing directives issued by the department.  For example, Executive Directive No. 20-026 requires</w:t>
      </w:r>
      <w:r w:rsidRPr="003A2399">
        <w:t xml:space="preserve"> </w:t>
      </w:r>
      <w:r>
        <w:t>all LTC facilities to report, at a minimum twice per week, COVID-19 cases, facility staffing, and supply information to the NHSN Long-Term Care Facility COVID-19 Module and reinforces DOH guidance regarding the separation</w:t>
      </w:r>
      <w:r w:rsidRPr="003A2399">
        <w:t xml:space="preserve"> </w:t>
      </w:r>
      <w:r>
        <w:t>of COVID-19 positive and negative residents.</w:t>
      </w:r>
      <w:r>
        <w:rPr>
          <w:rStyle w:val="FootnoteReference"/>
        </w:rPr>
        <w:footnoteReference w:id="1"/>
      </w:r>
      <w:r>
        <w:t xml:space="preserve">   </w:t>
      </w:r>
    </w:p>
    <w:p w:rsidR="00B56750" w:rsidRDefault="00B56750" w:rsidP="00B56750">
      <w:pPr>
        <w:pStyle w:val="StyleBulletedSymbolsymbol"/>
        <w:numPr>
          <w:ilvl w:val="0"/>
          <w:numId w:val="0"/>
        </w:numPr>
        <w:spacing w:after="0"/>
      </w:pPr>
      <w:r>
        <w:t xml:space="preserve">      N</w:t>
      </w:r>
      <w:r w:rsidRPr="000D5335">
        <w:t xml:space="preserve">ursing homes operated by the </w:t>
      </w:r>
      <w:r>
        <w:t xml:space="preserve">DMAVA and certain county governments may also incur costs in upgrading the facility’s EHR systems, to the extent that such facilities do not currently meet the standards outlined in the bill.  The OLS notes that the bill directs the DOH to </w:t>
      </w:r>
      <w:r>
        <w:rPr>
          <w:spacing w:val="4"/>
        </w:rPr>
        <w:t xml:space="preserve">award grants, subject to availability, to LTC facilities to provide assistance in upgrading an EHR system, which may minimize the impact of this provision on the above facilities.  </w:t>
      </w:r>
      <w:r>
        <w:t>Currently, the DMAVA operates three facilities, while there are nine county facilities: three in Bergen County; two in Middlesex County; and one each in Atlantic County, Cape May County, Gloucester County, and Passaic County.</w:t>
      </w:r>
    </w:p>
    <w:p w:rsidR="00B56750" w:rsidRDefault="00B56750" w:rsidP="00B56750">
      <w:pPr>
        <w:pStyle w:val="StyleBulletedSymbolsymbol"/>
        <w:numPr>
          <w:ilvl w:val="0"/>
          <w:numId w:val="0"/>
        </w:numPr>
        <w:spacing w:after="0"/>
      </w:pPr>
      <w:r>
        <w:rPr>
          <w:szCs w:val="20"/>
        </w:rPr>
        <w:t xml:space="preserve">      The OLS estimates that the University Hospital</w:t>
      </w:r>
      <w:r>
        <w:rPr>
          <w:color w:val="000000"/>
        </w:rPr>
        <w:t xml:space="preserve">, as a Level 1 trauma center and an independent non-profit legal entity that is an instrumentality of the State located in Newark, may incur certain costs in making clinical and non-clinical content experts available for consultation and support within the regional medical coordination center model.  As the scope of the University Hospital’s role in the regional model is to be determined upon the enactment of the bill, the OLS cannot predict the cost of this provision. </w:t>
      </w:r>
    </w:p>
    <w:p w:rsidR="00B56750" w:rsidRDefault="00B56750" w:rsidP="00B56750">
      <w:pPr>
        <w:tabs>
          <w:tab w:val="left" w:pos="360"/>
          <w:tab w:val="left" w:pos="720"/>
          <w:tab w:val="left" w:pos="1440"/>
          <w:tab w:val="left" w:pos="2160"/>
          <w:tab w:val="left" w:pos="2880"/>
          <w:tab w:val="left" w:pos="3600"/>
          <w:tab w:val="left" w:pos="4320"/>
          <w:tab w:val="left" w:pos="5040"/>
        </w:tabs>
      </w:pPr>
      <w:r>
        <w:t xml:space="preserve">      A provision imposing penalties on LTC facilities that fail to report certain information, as required under this bill, may increase State revenues by an indeterminate amount.  As the number of facilities that may be penalized is unpredictable, the OLS is unable to determine the value of any revenue increase.</w:t>
      </w:r>
    </w:p>
    <w:p w:rsidR="00B56750" w:rsidRDefault="00B56750" w:rsidP="00B56750">
      <w:pPr>
        <w:tabs>
          <w:tab w:val="left" w:pos="360"/>
          <w:tab w:val="left" w:pos="720"/>
          <w:tab w:val="left" w:pos="1440"/>
          <w:tab w:val="left" w:pos="2160"/>
          <w:tab w:val="left" w:pos="2880"/>
          <w:tab w:val="left" w:pos="3600"/>
          <w:tab w:val="left" w:pos="4320"/>
          <w:tab w:val="left" w:pos="5040"/>
        </w:tabs>
      </w:pPr>
    </w:p>
    <w:p w:rsidR="00B56750" w:rsidRDefault="00B56750" w:rsidP="00B56750"/>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B56750" w:rsidTr="002D010F">
        <w:trPr>
          <w:trHeight w:val="403"/>
        </w:trPr>
        <w:tc>
          <w:tcPr>
            <w:tcW w:w="1260" w:type="dxa"/>
            <w:tcBorders>
              <w:top w:val="nil"/>
              <w:left w:val="nil"/>
              <w:bottom w:val="nil"/>
              <w:right w:val="nil"/>
            </w:tcBorders>
          </w:tcPr>
          <w:p w:rsidR="00B56750" w:rsidRDefault="00B56750" w:rsidP="002D010F">
            <w:pPr>
              <w:pStyle w:val="10pointItalics"/>
              <w:rPr>
                <w:sz w:val="24"/>
              </w:rPr>
            </w:pPr>
            <w:r>
              <w:t>Section:</w:t>
            </w:r>
          </w:p>
        </w:tc>
        <w:tc>
          <w:tcPr>
            <w:tcW w:w="8100" w:type="dxa"/>
            <w:tcBorders>
              <w:top w:val="nil"/>
              <w:left w:val="nil"/>
              <w:bottom w:val="nil"/>
              <w:right w:val="nil"/>
            </w:tcBorders>
          </w:tcPr>
          <w:p w:rsidR="00B56750" w:rsidRDefault="00B56750" w:rsidP="002D010F">
            <w:pPr>
              <w:pStyle w:val="10pointItalics"/>
              <w:rPr>
                <w:sz w:val="24"/>
              </w:rPr>
            </w:pPr>
            <w:bookmarkStart w:id="2" w:name="Section"/>
            <w:r>
              <w:t>Human Services</w:t>
            </w:r>
            <w:bookmarkEnd w:id="2"/>
          </w:p>
        </w:tc>
      </w:tr>
      <w:tr w:rsidR="00B56750" w:rsidTr="002D010F">
        <w:trPr>
          <w:trHeight w:val="403"/>
        </w:trPr>
        <w:tc>
          <w:tcPr>
            <w:tcW w:w="1260" w:type="dxa"/>
            <w:tcBorders>
              <w:top w:val="nil"/>
              <w:left w:val="nil"/>
              <w:bottom w:val="nil"/>
              <w:right w:val="nil"/>
            </w:tcBorders>
          </w:tcPr>
          <w:p w:rsidR="00B56750" w:rsidRDefault="00B56750" w:rsidP="002D010F">
            <w:pPr>
              <w:pStyle w:val="10pointItalics"/>
              <w:rPr>
                <w:sz w:val="24"/>
              </w:rPr>
            </w:pPr>
            <w:r>
              <w:t>Analyst:</w:t>
            </w:r>
          </w:p>
        </w:tc>
        <w:tc>
          <w:tcPr>
            <w:tcW w:w="8100" w:type="dxa"/>
            <w:tcBorders>
              <w:top w:val="nil"/>
              <w:left w:val="nil"/>
              <w:bottom w:val="nil"/>
              <w:right w:val="nil"/>
            </w:tcBorders>
          </w:tcPr>
          <w:p w:rsidR="00B56750" w:rsidRDefault="00B56750" w:rsidP="002D010F">
            <w:pPr>
              <w:pStyle w:val="10pointItalics"/>
            </w:pPr>
            <w:bookmarkStart w:id="3" w:name="UserFullName"/>
            <w:bookmarkEnd w:id="3"/>
            <w:r>
              <w:t>Sarah Schmidt</w:t>
            </w:r>
          </w:p>
          <w:p w:rsidR="00B56750" w:rsidRDefault="00B56750" w:rsidP="002D010F">
            <w:pPr>
              <w:pStyle w:val="10pointItalics"/>
              <w:rPr>
                <w:sz w:val="24"/>
              </w:rPr>
            </w:pPr>
            <w:r>
              <w:t>Senior Research Analyst</w:t>
            </w:r>
          </w:p>
        </w:tc>
      </w:tr>
      <w:tr w:rsidR="00B56750" w:rsidTr="002D010F">
        <w:trPr>
          <w:trHeight w:val="403"/>
        </w:trPr>
        <w:tc>
          <w:tcPr>
            <w:tcW w:w="1260" w:type="dxa"/>
            <w:tcBorders>
              <w:top w:val="nil"/>
              <w:left w:val="nil"/>
              <w:bottom w:val="nil"/>
              <w:right w:val="nil"/>
            </w:tcBorders>
            <w:tcMar>
              <w:top w:w="72" w:type="dxa"/>
            </w:tcMar>
          </w:tcPr>
          <w:p w:rsidR="00B56750" w:rsidRDefault="00B56750" w:rsidP="002D010F">
            <w:pPr>
              <w:pStyle w:val="10pointItalics"/>
              <w:rPr>
                <w:sz w:val="24"/>
              </w:rPr>
            </w:pPr>
            <w:r>
              <w:t>Approved:</w:t>
            </w:r>
          </w:p>
        </w:tc>
        <w:tc>
          <w:tcPr>
            <w:tcW w:w="8100" w:type="dxa"/>
            <w:tcBorders>
              <w:top w:val="nil"/>
              <w:left w:val="nil"/>
              <w:bottom w:val="nil"/>
              <w:right w:val="nil"/>
            </w:tcBorders>
            <w:tcMar>
              <w:top w:w="72" w:type="dxa"/>
            </w:tcMar>
          </w:tcPr>
          <w:p w:rsidR="00B56750" w:rsidRDefault="00B56750" w:rsidP="002D010F">
            <w:pPr>
              <w:pStyle w:val="10pointItalics"/>
            </w:pPr>
            <w:r>
              <w:t>Frank W. Haines III</w:t>
            </w:r>
          </w:p>
          <w:p w:rsidR="00B56750" w:rsidRDefault="00B56750" w:rsidP="002D010F">
            <w:pPr>
              <w:pStyle w:val="10pointItalics"/>
              <w:rPr>
                <w:sz w:val="24"/>
              </w:rPr>
            </w:pPr>
            <w:r>
              <w:t>Legislative Budget and Finance Officer</w:t>
            </w:r>
          </w:p>
        </w:tc>
      </w:tr>
    </w:tbl>
    <w:p w:rsidR="00B56750" w:rsidRDefault="00B56750" w:rsidP="00B56750">
      <w:pPr>
        <w:spacing w:line="287" w:lineRule="atLeast"/>
      </w:pPr>
    </w:p>
    <w:p w:rsidR="008877A3" w:rsidRDefault="008877A3" w:rsidP="00B56750">
      <w:pPr>
        <w:spacing w:line="287" w:lineRule="atLeast"/>
      </w:pPr>
    </w:p>
    <w:p w:rsidR="00B56750" w:rsidRDefault="00B56750" w:rsidP="00B56750">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B56750" w:rsidRDefault="00B56750" w:rsidP="00B56750">
      <w:pPr>
        <w:tabs>
          <w:tab w:val="left" w:pos="360"/>
          <w:tab w:val="left" w:pos="720"/>
          <w:tab w:val="left" w:pos="1440"/>
          <w:tab w:val="left" w:pos="2160"/>
          <w:tab w:val="left" w:pos="2880"/>
          <w:tab w:val="left" w:pos="3600"/>
          <w:tab w:val="left" w:pos="4320"/>
          <w:tab w:val="left" w:pos="5040"/>
        </w:tabs>
      </w:pPr>
    </w:p>
    <w:p w:rsidR="00EF17BC" w:rsidRDefault="00B56750" w:rsidP="00EF17BC">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F17BC"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604B" w:rsidRDefault="0054604B">
      <w:r>
        <w:separator/>
      </w:r>
    </w:p>
  </w:endnote>
  <w:endnote w:type="continuationSeparator" w:id="0">
    <w:p w:rsidR="0054604B" w:rsidRDefault="00546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C526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38857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604B" w:rsidRDefault="0054604B">
      <w:r>
        <w:separator/>
      </w:r>
    </w:p>
  </w:footnote>
  <w:footnote w:type="continuationSeparator" w:id="0">
    <w:p w:rsidR="0054604B" w:rsidRDefault="0054604B">
      <w:r>
        <w:continuationSeparator/>
      </w:r>
    </w:p>
  </w:footnote>
  <w:footnote w:id="1">
    <w:p w:rsidR="00B56750" w:rsidRDefault="00B56750" w:rsidP="00B56750">
      <w:pPr>
        <w:pStyle w:val="FootnoteText"/>
      </w:pPr>
      <w:r>
        <w:rPr>
          <w:rStyle w:val="FootnoteReference"/>
        </w:rPr>
        <w:footnoteRef/>
      </w:r>
      <w:r>
        <w:t xml:space="preserve"> </w:t>
      </w:r>
      <w:hyperlink r:id="rId1" w:history="1">
        <w:r>
          <w:rPr>
            <w:rStyle w:val="Hyperlink"/>
          </w:rPr>
          <w:t>https://www.state.nj.us/health/legal/covid19/8-20_ExecutiveDirectiveNo20-026_LTCResumption_of_Svcs.pdf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04B" w:rsidRDefault="0054604B" w:rsidP="0054604B">
    <w:pPr>
      <w:pStyle w:val="Header"/>
      <w:jc w:val="center"/>
    </w:pPr>
    <w:r>
      <w:t xml:space="preserve">FE to S2790 </w:t>
    </w:r>
    <w:r w:rsidR="000D5335">
      <w:t>[2R]</w:t>
    </w:r>
  </w:p>
  <w:p w:rsidR="0054604B" w:rsidRDefault="0054604B" w:rsidP="0054604B">
    <w:pPr>
      <w:pStyle w:val="Header"/>
      <w:jc w:val="center"/>
    </w:pPr>
    <w:r>
      <w:fldChar w:fldCharType="begin"/>
    </w:r>
    <w:r>
      <w:instrText xml:space="preserve"> PAGE  \* MERGEFORMAT </w:instrText>
    </w:r>
    <w:r>
      <w:fldChar w:fldCharType="separate"/>
    </w:r>
    <w:r w:rsidR="008C526E">
      <w:rPr>
        <w:noProof/>
      </w:rPr>
      <w:t>4</w:t>
    </w:r>
    <w:r>
      <w:fldChar w:fldCharType="end"/>
    </w:r>
  </w:p>
  <w:p w:rsidR="0054604B" w:rsidRDefault="0054604B" w:rsidP="0054604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04B"/>
    <w:rsid w:val="00011EDD"/>
    <w:rsid w:val="00013973"/>
    <w:rsid w:val="000333DF"/>
    <w:rsid w:val="00036860"/>
    <w:rsid w:val="00042B0B"/>
    <w:rsid w:val="000629F9"/>
    <w:rsid w:val="000701B0"/>
    <w:rsid w:val="00070F62"/>
    <w:rsid w:val="000820F8"/>
    <w:rsid w:val="00083C14"/>
    <w:rsid w:val="0008691D"/>
    <w:rsid w:val="00095290"/>
    <w:rsid w:val="000A16EC"/>
    <w:rsid w:val="000B1CCB"/>
    <w:rsid w:val="000C074D"/>
    <w:rsid w:val="000C50EA"/>
    <w:rsid w:val="000D5335"/>
    <w:rsid w:val="000E08DD"/>
    <w:rsid w:val="000E17DB"/>
    <w:rsid w:val="000F0A12"/>
    <w:rsid w:val="000F231D"/>
    <w:rsid w:val="000F278B"/>
    <w:rsid w:val="000F2B57"/>
    <w:rsid w:val="001106B5"/>
    <w:rsid w:val="001139B9"/>
    <w:rsid w:val="00114591"/>
    <w:rsid w:val="00115411"/>
    <w:rsid w:val="001223E7"/>
    <w:rsid w:val="00125D26"/>
    <w:rsid w:val="00132EB0"/>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07537"/>
    <w:rsid w:val="00210E60"/>
    <w:rsid w:val="002113AC"/>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1EC0"/>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2399"/>
    <w:rsid w:val="003A5E75"/>
    <w:rsid w:val="003A65D6"/>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2A67"/>
    <w:rsid w:val="004C6ECA"/>
    <w:rsid w:val="004D6C2C"/>
    <w:rsid w:val="004D7D86"/>
    <w:rsid w:val="004E1959"/>
    <w:rsid w:val="004E6202"/>
    <w:rsid w:val="004F1874"/>
    <w:rsid w:val="004F2034"/>
    <w:rsid w:val="004F585C"/>
    <w:rsid w:val="004F7F49"/>
    <w:rsid w:val="00503061"/>
    <w:rsid w:val="00510A23"/>
    <w:rsid w:val="0051514A"/>
    <w:rsid w:val="00515AC5"/>
    <w:rsid w:val="00520DC2"/>
    <w:rsid w:val="00536F40"/>
    <w:rsid w:val="0054604B"/>
    <w:rsid w:val="005470F3"/>
    <w:rsid w:val="00552BD5"/>
    <w:rsid w:val="00570997"/>
    <w:rsid w:val="00577AA8"/>
    <w:rsid w:val="005850CE"/>
    <w:rsid w:val="005A6D23"/>
    <w:rsid w:val="005C1947"/>
    <w:rsid w:val="005C1E9D"/>
    <w:rsid w:val="005E03E7"/>
    <w:rsid w:val="005E71C8"/>
    <w:rsid w:val="005E75AB"/>
    <w:rsid w:val="005F233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7420E"/>
    <w:rsid w:val="007833B1"/>
    <w:rsid w:val="007868E6"/>
    <w:rsid w:val="007920AC"/>
    <w:rsid w:val="007A0F7E"/>
    <w:rsid w:val="007A42C5"/>
    <w:rsid w:val="007A65A1"/>
    <w:rsid w:val="007B0A28"/>
    <w:rsid w:val="007B1FCF"/>
    <w:rsid w:val="007C4620"/>
    <w:rsid w:val="007E337B"/>
    <w:rsid w:val="007E5EB3"/>
    <w:rsid w:val="00804E41"/>
    <w:rsid w:val="00811BC0"/>
    <w:rsid w:val="008231E8"/>
    <w:rsid w:val="008266B7"/>
    <w:rsid w:val="00854B89"/>
    <w:rsid w:val="00855555"/>
    <w:rsid w:val="00881EF3"/>
    <w:rsid w:val="00883E7C"/>
    <w:rsid w:val="00886261"/>
    <w:rsid w:val="008877A3"/>
    <w:rsid w:val="00894971"/>
    <w:rsid w:val="008C0341"/>
    <w:rsid w:val="008C526E"/>
    <w:rsid w:val="008D5731"/>
    <w:rsid w:val="008E1349"/>
    <w:rsid w:val="0091761F"/>
    <w:rsid w:val="00937A78"/>
    <w:rsid w:val="00943EBC"/>
    <w:rsid w:val="00947B1E"/>
    <w:rsid w:val="00953C08"/>
    <w:rsid w:val="00960ACE"/>
    <w:rsid w:val="00973C29"/>
    <w:rsid w:val="009A426C"/>
    <w:rsid w:val="009B14F4"/>
    <w:rsid w:val="009B1B0D"/>
    <w:rsid w:val="009B1C3D"/>
    <w:rsid w:val="009B32DD"/>
    <w:rsid w:val="009C005A"/>
    <w:rsid w:val="009D4BC2"/>
    <w:rsid w:val="009D5E5F"/>
    <w:rsid w:val="009D62B4"/>
    <w:rsid w:val="009E1448"/>
    <w:rsid w:val="009E3E41"/>
    <w:rsid w:val="00A05A06"/>
    <w:rsid w:val="00A164F2"/>
    <w:rsid w:val="00A251FA"/>
    <w:rsid w:val="00A26FCF"/>
    <w:rsid w:val="00A31FA5"/>
    <w:rsid w:val="00A34F8C"/>
    <w:rsid w:val="00A359DA"/>
    <w:rsid w:val="00A37886"/>
    <w:rsid w:val="00A42FEB"/>
    <w:rsid w:val="00A63176"/>
    <w:rsid w:val="00A66908"/>
    <w:rsid w:val="00A70D0C"/>
    <w:rsid w:val="00A879B1"/>
    <w:rsid w:val="00A9794C"/>
    <w:rsid w:val="00AB0440"/>
    <w:rsid w:val="00AC3FC5"/>
    <w:rsid w:val="00AD340B"/>
    <w:rsid w:val="00AE3966"/>
    <w:rsid w:val="00AF11C6"/>
    <w:rsid w:val="00B002D1"/>
    <w:rsid w:val="00B057F1"/>
    <w:rsid w:val="00B143A9"/>
    <w:rsid w:val="00B4569E"/>
    <w:rsid w:val="00B45879"/>
    <w:rsid w:val="00B551EB"/>
    <w:rsid w:val="00B55F3D"/>
    <w:rsid w:val="00B560BB"/>
    <w:rsid w:val="00B56750"/>
    <w:rsid w:val="00B84AC8"/>
    <w:rsid w:val="00B90F8C"/>
    <w:rsid w:val="00B91C0B"/>
    <w:rsid w:val="00B97E24"/>
    <w:rsid w:val="00BA0BE6"/>
    <w:rsid w:val="00BA2122"/>
    <w:rsid w:val="00BA2F3A"/>
    <w:rsid w:val="00BA41DB"/>
    <w:rsid w:val="00BF47F9"/>
    <w:rsid w:val="00C07688"/>
    <w:rsid w:val="00C21EF5"/>
    <w:rsid w:val="00C2523E"/>
    <w:rsid w:val="00C260AB"/>
    <w:rsid w:val="00C32933"/>
    <w:rsid w:val="00C3314D"/>
    <w:rsid w:val="00C62737"/>
    <w:rsid w:val="00C75246"/>
    <w:rsid w:val="00C775C2"/>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B41D4"/>
    <w:rsid w:val="00DC1931"/>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61662"/>
    <w:rsid w:val="00E65053"/>
    <w:rsid w:val="00E708C9"/>
    <w:rsid w:val="00E74E35"/>
    <w:rsid w:val="00E75B93"/>
    <w:rsid w:val="00E86D2A"/>
    <w:rsid w:val="00E9123C"/>
    <w:rsid w:val="00E95800"/>
    <w:rsid w:val="00EA7801"/>
    <w:rsid w:val="00EB1C90"/>
    <w:rsid w:val="00EC1EF8"/>
    <w:rsid w:val="00EC2547"/>
    <w:rsid w:val="00EC4079"/>
    <w:rsid w:val="00ED7385"/>
    <w:rsid w:val="00EE7D05"/>
    <w:rsid w:val="00EF17BC"/>
    <w:rsid w:val="00EF3B9C"/>
    <w:rsid w:val="00F04CAD"/>
    <w:rsid w:val="00F11982"/>
    <w:rsid w:val="00F2634D"/>
    <w:rsid w:val="00F332CE"/>
    <w:rsid w:val="00F35009"/>
    <w:rsid w:val="00F4083E"/>
    <w:rsid w:val="00F45BA7"/>
    <w:rsid w:val="00F51DD4"/>
    <w:rsid w:val="00F56545"/>
    <w:rsid w:val="00F64D56"/>
    <w:rsid w:val="00F73621"/>
    <w:rsid w:val="00F82B11"/>
    <w:rsid w:val="00F873F0"/>
    <w:rsid w:val="00FA6D2B"/>
    <w:rsid w:val="00FB15DB"/>
    <w:rsid w:val="00FC6C02"/>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B6134A8-F29D-4281-8EC6-AB702D80A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FootnoteText">
    <w:name w:val="footnote text"/>
    <w:basedOn w:val="Normal"/>
    <w:link w:val="FootnoteTextChar"/>
    <w:semiHidden/>
    <w:unhideWhenUsed/>
    <w:rsid w:val="003A2399"/>
    <w:pPr>
      <w:spacing w:line="240" w:lineRule="auto"/>
    </w:pPr>
    <w:rPr>
      <w:sz w:val="20"/>
      <w:szCs w:val="20"/>
    </w:rPr>
  </w:style>
  <w:style w:type="character" w:customStyle="1" w:styleId="FootnoteTextChar">
    <w:name w:val="Footnote Text Char"/>
    <w:basedOn w:val="DefaultParagraphFont"/>
    <w:link w:val="FootnoteText"/>
    <w:semiHidden/>
    <w:rsid w:val="003A2399"/>
  </w:style>
  <w:style w:type="character" w:styleId="FootnoteReference">
    <w:name w:val="footnote reference"/>
    <w:basedOn w:val="DefaultParagraphFont"/>
    <w:semiHidden/>
    <w:unhideWhenUsed/>
    <w:rsid w:val="003A2399"/>
    <w:rPr>
      <w:vertAlign w:val="superscript"/>
    </w:rPr>
  </w:style>
  <w:style w:type="character" w:styleId="Hyperlink">
    <w:name w:val="Hyperlink"/>
    <w:basedOn w:val="DefaultParagraphFont"/>
    <w:uiPriority w:val="99"/>
    <w:semiHidden/>
    <w:unhideWhenUsed/>
    <w:rsid w:val="003A2399"/>
    <w:rPr>
      <w:color w:val="0000FF"/>
      <w:u w:val="single"/>
    </w:rPr>
  </w:style>
  <w:style w:type="paragraph" w:styleId="ListParagraph">
    <w:name w:val="List Paragraph"/>
    <w:basedOn w:val="Normal"/>
    <w:uiPriority w:val="34"/>
    <w:qFormat/>
    <w:rsid w:val="008877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1020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footnotes.xml.rels><?xml version="1.0" encoding="UTF-8" standalone="yes"?>
<Relationships xmlns="http://schemas.openxmlformats.org/package/2006/relationships"><Relationship Id="rId1" Type="http://schemas.openxmlformats.org/officeDocument/2006/relationships/hyperlink" Target="https://www.state.nj.us/health/legal/covid19/8-20_ExecutiveDirectiveNo20-026_LTCResumption_of_Svc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AB9C5-FB95-441E-9553-906ED1531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Template>
  <TotalTime>0</TotalTime>
  <Pages>4</Pages>
  <Words>1797</Words>
  <Characters>9969</Characters>
  <Application>Microsoft Office Word</Application>
  <DocSecurity>0</DocSecurity>
  <Lines>189</Lines>
  <Paragraphs>59</Paragraphs>
  <ScaleCrop>false</ScaleCrop>
  <HeadingPairs>
    <vt:vector size="2" baseType="variant">
      <vt:variant>
        <vt:lpstr>Title</vt:lpstr>
      </vt:variant>
      <vt:variant>
        <vt:i4>1</vt:i4>
      </vt:variant>
    </vt:vector>
  </HeadingPairs>
  <TitlesOfParts>
    <vt:vector size="1" baseType="lpstr">
      <vt:lpstr>S2790 [2R]   FISCAL ESTIMATE</vt:lpstr>
    </vt:vector>
  </TitlesOfParts>
  <Manager>Sarah Schmidt;R230</Manager>
  <Company>Office of Legislative Services</Company>
  <LinksUpToDate>false</LinksUpToDate>
  <CharactersWithSpaces>11796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S2790 2R FISCAL ESTIMATE</dc:title>
  <dc:subject>20-9545</dc:subject>
  <dc:creator>Senator CRYAN; Senator VITALE</dc:creator>
  <cp:keywords>S2790|4|HS |285|219|219|!||</cp:keywords>
  <cp:lastModifiedBy>Bektas, Brenda</cp:lastModifiedBy>
  <cp:revision>2</cp:revision>
  <dcterms:created xsi:type="dcterms:W3CDTF">2020-08-31T18:12:00Z</dcterms:created>
  <dcterms:modified xsi:type="dcterms:W3CDTF">2020-08-31T18:12:00Z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