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08F" w:rsidRDefault="004A008F" w:rsidP="004A008F">
      <w:pPr>
        <w:pStyle w:val="bpuReprint"/>
      </w:pPr>
      <w:bookmarkStart w:id="0" w:name="bpuFrontPg"/>
      <w:bookmarkEnd w:id="0"/>
      <w:r>
        <w:t>[First Reprint]</w:t>
      </w:r>
    </w:p>
    <w:p w:rsidR="005D78E8" w:rsidRDefault="005D78E8" w:rsidP="005D78E8">
      <w:pPr>
        <w:pStyle w:val="bpuBill"/>
      </w:pPr>
      <w:r>
        <w:t xml:space="preserve">SENATE, No. 2865 </w:t>
      </w:r>
    </w:p>
    <w:p w:rsidR="005D78E8" w:rsidRPr="009D38FF" w:rsidRDefault="005D78E8" w:rsidP="005D78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5421" r:id="rId7"/>
        </w:object>
      </w:r>
    </w:p>
    <w:p w:rsidR="005D78E8" w:rsidRDefault="005D78E8" w:rsidP="005D78E8">
      <w:pPr>
        <w:pStyle w:val="bpuState"/>
      </w:pPr>
      <w:r>
        <w:t>STATE OF NEW JERSEY</w:t>
      </w:r>
    </w:p>
    <w:p w:rsidR="005D78E8" w:rsidRDefault="005D78E8" w:rsidP="005D78E8">
      <w:pPr>
        <w:pStyle w:val="bpuLegislature"/>
      </w:pPr>
      <w:r>
        <w:t>219th LEGISLATURE</w:t>
      </w:r>
    </w:p>
    <w:p w:rsidR="005D78E8" w:rsidRDefault="005D78E8" w:rsidP="005D78E8">
      <w:pPr>
        <w:pStyle w:val="bpuWpGraphic"/>
      </w:pPr>
      <w:r>
        <w:object w:dxaOrig="8985" w:dyaOrig="255">
          <v:shape id="_x0000_i1026" type="#_x0000_t75" style="width:6in;height:12pt" o:ole="">
            <v:imagedata r:id="rId6" o:title=""/>
          </v:shape>
          <o:OLEObject Type="Embed" ProgID="WPWin6.1" ShapeID="_x0000_i1026" DrawAspect="Content" ObjectID="_1669795422" r:id="rId8"/>
        </w:object>
      </w:r>
      <w:r>
        <w:t xml:space="preserve">  </w:t>
      </w:r>
    </w:p>
    <w:p w:rsidR="005D78E8" w:rsidRDefault="005D78E8" w:rsidP="005D78E8">
      <w:pPr>
        <w:pStyle w:val="bpuIntro"/>
      </w:pPr>
      <w:r>
        <w:t>INTRODUCED SEPTEMBER 14, 2020</w:t>
      </w:r>
    </w:p>
    <w:p w:rsidR="005D78E8" w:rsidRDefault="005D78E8" w:rsidP="005D78E8">
      <w:pPr>
        <w:pStyle w:val="bpuIntro"/>
      </w:pPr>
    </w:p>
    <w:p w:rsidR="005D78E8" w:rsidRDefault="005D78E8" w:rsidP="005D78E8">
      <w:pPr>
        <w:pStyle w:val="bpuIntro"/>
        <w:sectPr w:rsidR="005D78E8" w:rsidSect="005D78E8">
          <w:headerReference w:type="even" r:id="rId9"/>
          <w:headerReference w:type="default" r:id="rId10"/>
          <w:pgSz w:w="12240" w:h="20160" w:code="5"/>
          <w:pgMar w:top="2160" w:right="1440" w:bottom="1440" w:left="1440" w:header="72" w:footer="720" w:gutter="0"/>
          <w:pgNumType w:start="1"/>
          <w:cols w:space="720"/>
          <w:docGrid w:linePitch="360"/>
        </w:sectPr>
      </w:pPr>
    </w:p>
    <w:p w:rsidR="005D78E8" w:rsidRDefault="005D78E8" w:rsidP="005D78E8">
      <w:pPr>
        <w:pStyle w:val="bpuIntro"/>
      </w:pPr>
    </w:p>
    <w:p w:rsidR="005D78E8" w:rsidRDefault="005D78E8" w:rsidP="005D78E8">
      <w:pPr>
        <w:pStyle w:val="bpuSponsor"/>
      </w:pPr>
      <w:r>
        <w:t>Sponsored by:</w:t>
      </w:r>
    </w:p>
    <w:p w:rsidR="005D78E8" w:rsidRDefault="005D78E8" w:rsidP="005D78E8">
      <w:pPr>
        <w:pStyle w:val="bpuSponsor"/>
      </w:pPr>
      <w:r>
        <w:t>Senator  ROBERT W. SINGER</w:t>
      </w:r>
    </w:p>
    <w:p w:rsidR="005D78E8" w:rsidRDefault="005D78E8" w:rsidP="005D78E8">
      <w:pPr>
        <w:pStyle w:val="bpuSponsor"/>
      </w:pPr>
      <w:r>
        <w:t>District 30 (Monmouth and Ocean)</w:t>
      </w:r>
    </w:p>
    <w:p w:rsidR="005D78E8" w:rsidRDefault="005D78E8" w:rsidP="005D78E8">
      <w:pPr>
        <w:pStyle w:val="bpuSponsor"/>
      </w:pPr>
    </w:p>
    <w:p w:rsidR="005D78E8" w:rsidRDefault="005D78E8" w:rsidP="005D78E8">
      <w:pPr>
        <w:pStyle w:val="bpuSponsor"/>
      </w:pPr>
    </w:p>
    <w:p w:rsidR="005D78E8" w:rsidRDefault="005D78E8" w:rsidP="005D78E8">
      <w:pPr>
        <w:pStyle w:val="bpuSponsor"/>
      </w:pPr>
    </w:p>
    <w:p w:rsidR="005D78E8" w:rsidRDefault="005D78E8" w:rsidP="005D78E8">
      <w:pPr>
        <w:pStyle w:val="bpuSponsor"/>
      </w:pPr>
    </w:p>
    <w:p w:rsidR="005D78E8" w:rsidRDefault="005D78E8" w:rsidP="005D78E8">
      <w:pPr>
        <w:pStyle w:val="bpuSponsor"/>
      </w:pPr>
      <w:r>
        <w:t>SYNOPSIS</w:t>
      </w:r>
    </w:p>
    <w:p w:rsidR="004A008F" w:rsidRDefault="00422BEA" w:rsidP="004A008F">
      <w:pPr>
        <w:pStyle w:val="bpuNormText"/>
      </w:pPr>
      <w:r>
        <w:tab/>
      </w:r>
      <w:bookmarkStart w:id="1" w:name="_GoBack"/>
      <w:bookmarkEnd w:id="1"/>
      <w:r w:rsidR="004A008F">
        <w:t xml:space="preserve">Establishes certain disclosure requirements for health care workers concerning other employers and health care facilities concerning infectious disease outbreaks. </w:t>
      </w:r>
    </w:p>
    <w:p w:rsidR="005D78E8" w:rsidRDefault="005D78E8" w:rsidP="005D78E8">
      <w:pPr>
        <w:pStyle w:val="bpuNormText"/>
      </w:pPr>
    </w:p>
    <w:p w:rsidR="005D78E8" w:rsidRDefault="005D78E8" w:rsidP="005D78E8">
      <w:pPr>
        <w:pStyle w:val="bpuSponsor"/>
      </w:pPr>
      <w:r>
        <w:t xml:space="preserve">CURRENT VERSION OF TEXT </w:t>
      </w:r>
    </w:p>
    <w:p w:rsidR="005D78E8" w:rsidRDefault="004A008F" w:rsidP="005D78E8">
      <w:pPr>
        <w:pStyle w:val="bpuNormText"/>
      </w:pPr>
      <w:r>
        <w:tab/>
        <w:t>As amended by the Senate on December 17, 2020.</w:t>
      </w:r>
    </w:p>
    <w:p w:rsidR="005D78E8" w:rsidRDefault="005D78E8" w:rsidP="005D78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78E8" w:rsidRDefault="005D78E8" w:rsidP="008916EC">
      <w:pPr>
        <w:pStyle w:val="FronterPage"/>
        <w:tabs>
          <w:tab w:val="clear" w:pos="720"/>
          <w:tab w:val="clear" w:pos="1440"/>
          <w:tab w:val="clear" w:pos="2160"/>
          <w:tab w:val="clear" w:pos="2880"/>
          <w:tab w:val="clear" w:pos="3600"/>
          <w:tab w:val="clear" w:pos="4320"/>
          <w:tab w:val="clear" w:pos="5040"/>
        </w:tabs>
        <w:sectPr w:rsidR="005D78E8" w:rsidSect="005D78E8">
          <w:type w:val="continuous"/>
          <w:pgSz w:w="12240" w:h="20160" w:code="5"/>
          <w:pgMar w:top="1440" w:right="2275" w:bottom="1440" w:left="2275" w:header="72" w:footer="720" w:gutter="0"/>
          <w:pgNumType w:start="1"/>
          <w:cols w:space="720"/>
          <w:docGrid w:linePitch="360"/>
        </w:sectPr>
      </w:pPr>
    </w:p>
    <w:p w:rsidR="004A008F" w:rsidRDefault="004A008F" w:rsidP="004A008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A008F">
        <w:rPr>
          <w:b/>
          <w:smallCaps/>
          <w:szCs w:val="20"/>
        </w:rPr>
        <w:lastRenderedPageBreak/>
        <w:t>An Act</w:t>
      </w:r>
      <w:r w:rsidRPr="004A008F">
        <w:t xml:space="preserve"> concerning certain health care workers </w:t>
      </w:r>
      <w:r w:rsidRPr="004A008F">
        <w:rPr>
          <w:rFonts w:ascii="Albertus Extra Bold" w:hAnsi="Albertus Extra Bold"/>
          <w:b/>
          <w:vertAlign w:val="superscript"/>
        </w:rPr>
        <w:t>1</w:t>
      </w:r>
      <w:r w:rsidRPr="004A008F">
        <w:rPr>
          <w:u w:val="single"/>
        </w:rPr>
        <w:t>and health care facilities</w:t>
      </w:r>
      <w:r w:rsidRPr="004A008F">
        <w:rPr>
          <w:rFonts w:ascii="Albertus Extra Bold" w:hAnsi="Albertus Extra Bold"/>
          <w:b/>
          <w:vertAlign w:val="superscript"/>
        </w:rPr>
        <w:t>1</w:t>
      </w:r>
      <w:r w:rsidRPr="004A008F">
        <w:t xml:space="preserve"> and supplementing Title 26 of the Revised Statutes.</w:t>
      </w:r>
    </w:p>
    <w:p w:rsidR="004A008F" w:rsidRPr="004A008F" w:rsidRDefault="004A008F" w:rsidP="004A008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p>
    <w:p w:rsidR="00686AEB" w:rsidRPr="00AA7880" w:rsidRDefault="00686AEB" w:rsidP="00686AEB">
      <w:r>
        <w:tab/>
      </w:r>
      <w:r w:rsidR="009B1359">
        <w:rPr>
          <w:rStyle w:val="BillHeading2"/>
        </w:rPr>
        <w:t>Be It Enacted</w:t>
      </w:r>
      <w:r>
        <w:rPr>
          <w:rStyle w:val="BillHeading2"/>
        </w:rPr>
        <w:t xml:space="preserve"> </w:t>
      </w:r>
      <w:r w:rsidR="009B1359">
        <w:rPr>
          <w:rStyle w:val="BillLanguage"/>
        </w:rPr>
        <w:t>by the Senate and General Assembly of the State of New Jersey:</w:t>
      </w:r>
    </w:p>
    <w:p w:rsidR="00686AEB" w:rsidRDefault="00686AEB" w:rsidP="00686AEB"/>
    <w:p w:rsidR="004A008F" w:rsidRPr="004A008F" w:rsidRDefault="004A008F" w:rsidP="004A00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008F">
        <w:rPr>
          <w:spacing w:val="0"/>
        </w:rPr>
        <w:tab/>
        <w:t>1.</w:t>
      </w:r>
      <w:r w:rsidRPr="004A008F">
        <w:rPr>
          <w:spacing w:val="0"/>
        </w:rPr>
        <w:tab/>
        <w:t xml:space="preserve">a.  Notwithstanding any other provision of law to the contrary, an individual </w:t>
      </w:r>
      <w:r w:rsidRPr="004A008F">
        <w:rPr>
          <w:rFonts w:ascii="Albertus Extra Bold" w:hAnsi="Albertus Extra Bold"/>
          <w:b/>
          <w:vertAlign w:val="superscript"/>
        </w:rPr>
        <w:t>1</w:t>
      </w:r>
      <w:r w:rsidRPr="004A008F">
        <w:rPr>
          <w:rFonts w:ascii="Albertus Extra Bold" w:hAnsi="Albertus Extra Bold"/>
          <w:b/>
        </w:rPr>
        <w:t>[</w:t>
      </w:r>
      <w:r w:rsidRPr="004A008F">
        <w:rPr>
          <w:spacing w:val="0"/>
        </w:rPr>
        <w:t>other than a physician</w:t>
      </w:r>
      <w:r w:rsidRPr="004A008F">
        <w:rPr>
          <w:rFonts w:ascii="Albertus Extra Bold" w:hAnsi="Albertus Extra Bold"/>
          <w:b/>
        </w:rPr>
        <w:t>]</w:t>
      </w:r>
      <w:r w:rsidRPr="004A008F">
        <w:rPr>
          <w:rFonts w:ascii="Albertus Extra Bold" w:hAnsi="Albertus Extra Bold"/>
          <w:b/>
          <w:vertAlign w:val="superscript"/>
        </w:rPr>
        <w:t>1</w:t>
      </w:r>
      <w:r w:rsidRPr="004A008F">
        <w:rPr>
          <w:spacing w:val="0"/>
        </w:rPr>
        <w:t xml:space="preserve"> who is employed by, or provides services at, a general acute care hospital, psychiatric hospital, nursing facility, group home, or assisted living facility shall disclose to that entity:</w:t>
      </w:r>
    </w:p>
    <w:p w:rsidR="004A008F" w:rsidRPr="004A008F" w:rsidRDefault="004A008F" w:rsidP="004A00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008F">
        <w:rPr>
          <w:spacing w:val="0"/>
        </w:rPr>
        <w:tab/>
        <w:t xml:space="preserve">(1) </w:t>
      </w:r>
      <w:r>
        <w:rPr>
          <w:spacing w:val="0"/>
        </w:rPr>
        <w:t xml:space="preserve"> </w:t>
      </w:r>
      <w:r w:rsidRPr="004A008F">
        <w:rPr>
          <w:spacing w:val="0"/>
        </w:rPr>
        <w:t>the name of any other general acute care hospital, psychiatric hospital, nursing facility, group home, or assisted living facility at which the individual is employed or provides services, which disclosure shall be made no later than 30 days after the effective date of this act or 30 days after the date the individual commences employment with, or begins providing services at, the other general acute care hospital, psychiatric hospital, nursing facility, group home, or assisted living facility, whichever date is later; and</w:t>
      </w:r>
    </w:p>
    <w:p w:rsidR="004A008F" w:rsidRPr="004A008F" w:rsidRDefault="004A008F" w:rsidP="004A00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A008F">
        <w:rPr>
          <w:spacing w:val="0"/>
        </w:rPr>
        <w:tab/>
        <w:t>(2)</w:t>
      </w:r>
      <w:r w:rsidRPr="004A008F">
        <w:rPr>
          <w:spacing w:val="0"/>
        </w:rPr>
        <w:tab/>
        <w:t xml:space="preserve">any outbreak of an infectious disease occurring at a general acute care hospital, psychiatric hospital, nursing facility, group home, or assisted living facility at which the individual is employed or provides services </w:t>
      </w:r>
      <w:r w:rsidRPr="004A008F">
        <w:rPr>
          <w:rFonts w:ascii="Albertus Extra Bold" w:hAnsi="Albertus Extra Bold"/>
          <w:b/>
          <w:vertAlign w:val="superscript"/>
        </w:rPr>
        <w:t>1</w:t>
      </w:r>
      <w:r w:rsidRPr="004A008F">
        <w:rPr>
          <w:spacing w:val="0"/>
          <w:u w:val="single"/>
        </w:rPr>
        <w:t>of which the individual receives notice pursuant to subsection c. of this section</w:t>
      </w:r>
      <w:r w:rsidRPr="004A008F">
        <w:rPr>
          <w:rFonts w:ascii="Albertus Extra Bold" w:hAnsi="Albertus Extra Bold"/>
          <w:b/>
          <w:vertAlign w:val="superscript"/>
        </w:rPr>
        <w:t>1</w:t>
      </w:r>
      <w:r w:rsidRPr="004A008F">
        <w:rPr>
          <w:spacing w:val="0"/>
        </w:rPr>
        <w:t xml:space="preserve"> , which disclosure shall be made as soon as practicable after the individual </w:t>
      </w:r>
      <w:r w:rsidRPr="004A008F">
        <w:rPr>
          <w:rFonts w:ascii="Albertus Extra Bold" w:hAnsi="Albertus Extra Bold"/>
          <w:b/>
          <w:vertAlign w:val="superscript"/>
        </w:rPr>
        <w:t>1</w:t>
      </w:r>
      <w:r w:rsidRPr="004A008F">
        <w:rPr>
          <w:rFonts w:ascii="Albertus Extra Bold" w:hAnsi="Albertus Extra Bold"/>
          <w:b/>
        </w:rPr>
        <w:t>[</w:t>
      </w:r>
      <w:r w:rsidRPr="004A008F">
        <w:rPr>
          <w:spacing w:val="0"/>
        </w:rPr>
        <w:t>knows or reasonably should know</w:t>
      </w:r>
      <w:r w:rsidRPr="004A008F">
        <w:rPr>
          <w:rFonts w:ascii="Albertus Extra Bold" w:hAnsi="Albertus Extra Bold"/>
          <w:b/>
        </w:rPr>
        <w:t>]</w:t>
      </w:r>
      <w:r w:rsidRPr="004A008F">
        <w:rPr>
          <w:spacing w:val="0"/>
        </w:rPr>
        <w:t xml:space="preserve"> </w:t>
      </w:r>
      <w:r w:rsidRPr="004A008F">
        <w:rPr>
          <w:spacing w:val="0"/>
          <w:u w:val="single"/>
        </w:rPr>
        <w:t>is provided notice</w:t>
      </w:r>
      <w:r w:rsidRPr="004A008F">
        <w:rPr>
          <w:rFonts w:ascii="Albertus Extra Bold" w:hAnsi="Albertus Extra Bold"/>
          <w:b/>
          <w:vertAlign w:val="superscript"/>
        </w:rPr>
        <w:t>1</w:t>
      </w:r>
      <w:r w:rsidRPr="004A008F">
        <w:rPr>
          <w:spacing w:val="0"/>
        </w:rPr>
        <w:t xml:space="preserve"> of the outbreak.</w:t>
      </w:r>
    </w:p>
    <w:p w:rsidR="004A008F" w:rsidRPr="004A008F" w:rsidRDefault="004A008F" w:rsidP="004A00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008F">
        <w:rPr>
          <w:spacing w:val="0"/>
        </w:rPr>
        <w:tab/>
        <w:t>b.</w:t>
      </w:r>
      <w:r w:rsidRPr="004A008F">
        <w:rPr>
          <w:spacing w:val="0"/>
        </w:rPr>
        <w:tab/>
      </w:r>
      <w:r w:rsidRPr="004A008F">
        <w:rPr>
          <w:rFonts w:ascii="Albertus Extra Bold" w:hAnsi="Albertus Extra Bold"/>
          <w:b/>
          <w:vertAlign w:val="superscript"/>
        </w:rPr>
        <w:t>1</w:t>
      </w:r>
      <w:r w:rsidRPr="004A008F">
        <w:rPr>
          <w:rFonts w:ascii="Albertus Extra Bold" w:hAnsi="Albertus Extra Bold"/>
          <w:b/>
        </w:rPr>
        <w:t>[</w:t>
      </w:r>
      <w:r w:rsidRPr="004A008F">
        <w:rPr>
          <w:spacing w:val="0"/>
        </w:rPr>
        <w:t>A</w:t>
      </w:r>
      <w:r w:rsidRPr="004A008F">
        <w:rPr>
          <w:rFonts w:ascii="Albertus Extra Bold" w:hAnsi="Albertus Extra Bold"/>
          <w:b/>
        </w:rPr>
        <w:t>]</w:t>
      </w:r>
      <w:r w:rsidRPr="004A008F">
        <w:rPr>
          <w:spacing w:val="0"/>
        </w:rPr>
        <w:t xml:space="preserve"> </w:t>
      </w:r>
      <w:r>
        <w:rPr>
          <w:spacing w:val="0"/>
        </w:rPr>
        <w:t xml:space="preserve"> </w:t>
      </w:r>
      <w:r w:rsidRPr="004A008F">
        <w:rPr>
          <w:spacing w:val="0"/>
          <w:u w:val="single"/>
        </w:rPr>
        <w:t>(1)  Except as provided in paragraph (2) of this subsection, a</w:t>
      </w:r>
      <w:r w:rsidRPr="004A008F">
        <w:rPr>
          <w:rFonts w:ascii="Albertus Extra Bold" w:hAnsi="Albertus Extra Bold"/>
          <w:b/>
          <w:vertAlign w:val="superscript"/>
        </w:rPr>
        <w:t>1</w:t>
      </w:r>
      <w:r w:rsidRPr="004A008F">
        <w:rPr>
          <w:spacing w:val="0"/>
        </w:rPr>
        <w:t xml:space="preserve"> general acute care hospital, psychiatric hospital, nursing facility, group home, or assisted living facility that identifies an individual who fails to make a disclosure required under this section </w:t>
      </w:r>
      <w:r w:rsidRPr="004A008F">
        <w:rPr>
          <w:rFonts w:ascii="Albertus Extra Bold" w:hAnsi="Albertus Extra Bold"/>
          <w:b/>
          <w:vertAlign w:val="superscript"/>
        </w:rPr>
        <w:t>1</w:t>
      </w:r>
      <w:r w:rsidRPr="004A008F">
        <w:rPr>
          <w:rFonts w:ascii="Albertus Extra Bold" w:hAnsi="Albertus Extra Bold"/>
          <w:b/>
        </w:rPr>
        <w:t>[</w:t>
      </w:r>
      <w:r w:rsidRPr="004A008F">
        <w:rPr>
          <w:spacing w:val="0"/>
        </w:rPr>
        <w:t>shall report the individual to the Department of Health and to the professional licensing board having jurisdiction over the individual, if any</w:t>
      </w:r>
      <w:r w:rsidRPr="004A008F">
        <w:rPr>
          <w:rFonts w:ascii="Albertus Extra Bold" w:hAnsi="Albertus Extra Bold"/>
          <w:b/>
        </w:rPr>
        <w:t>]</w:t>
      </w:r>
      <w:r w:rsidRPr="004A008F">
        <w:rPr>
          <w:spacing w:val="0"/>
        </w:rPr>
        <w:t xml:space="preserve"> </w:t>
      </w:r>
      <w:r w:rsidRPr="004A008F">
        <w:rPr>
          <w:spacing w:val="0"/>
          <w:u w:val="single"/>
        </w:rPr>
        <w:t xml:space="preserve">may take appropriate action to respond to the nondisclosure, including taking disciplinary action against the individual, provided such action is in accordance with written policies established by the facility that have been furnished to individuals employed by, or providing services at, the facility.  </w:t>
      </w:r>
    </w:p>
    <w:p w:rsidR="004A008F" w:rsidRPr="004A008F" w:rsidRDefault="004A008F" w:rsidP="004A00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A008F">
        <w:rPr>
          <w:spacing w:val="0"/>
        </w:rPr>
        <w:tab/>
      </w:r>
      <w:r w:rsidRPr="004A008F">
        <w:rPr>
          <w:spacing w:val="0"/>
          <w:u w:val="single"/>
        </w:rPr>
        <w:t>(2)</w:t>
      </w:r>
      <w:r w:rsidRPr="004A008F">
        <w:rPr>
          <w:spacing w:val="0"/>
          <w:u w:val="single"/>
        </w:rPr>
        <w:tab/>
        <w:t xml:space="preserve">In no case may a general acute care hospital, psychiatric hospital, nursing facility, group home, assisted living facility, or any other entity take administrative or disciplinary action against an individual who fails to disclose an outbreak of an infectious disease occurring at a general acute care hospital, psychiatric hospital, nursing facility, group home, or assisted living facility at which the individual is employed or provides services, if the facility at which the outbreak </w:t>
      </w:r>
      <w:r w:rsidRPr="004A008F">
        <w:rPr>
          <w:spacing w:val="0"/>
          <w:u w:val="single"/>
        </w:rPr>
        <w:lastRenderedPageBreak/>
        <w:t>is occurring did not provide notice of the outbreak as required under subsection c. of this section</w:t>
      </w:r>
      <w:r w:rsidRPr="004A008F">
        <w:rPr>
          <w:rFonts w:ascii="Albertus Extra Bold" w:hAnsi="Albertus Extra Bold"/>
          <w:b/>
          <w:vertAlign w:val="superscript"/>
        </w:rPr>
        <w:t>1</w:t>
      </w:r>
      <w:r w:rsidRPr="004A008F">
        <w:rPr>
          <w:spacing w:val="0"/>
        </w:rPr>
        <w:t xml:space="preserve"> .</w:t>
      </w:r>
    </w:p>
    <w:p w:rsidR="004A008F" w:rsidRPr="004A008F" w:rsidRDefault="004A008F" w:rsidP="004A00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A008F">
        <w:rPr>
          <w:spacing w:val="0"/>
        </w:rPr>
        <w:tab/>
        <w:t xml:space="preserve">c.  </w:t>
      </w:r>
      <w:r w:rsidRPr="004A008F">
        <w:rPr>
          <w:rFonts w:ascii="Albertus Extra Bold" w:hAnsi="Albertus Extra Bold"/>
          <w:b/>
          <w:vertAlign w:val="superscript"/>
        </w:rPr>
        <w:t>1</w:t>
      </w:r>
      <w:r w:rsidRPr="004A008F">
        <w:rPr>
          <w:rFonts w:ascii="Albertus Extra Bold" w:hAnsi="Albertus Extra Bold"/>
          <w:b/>
        </w:rPr>
        <w:t>[</w:t>
      </w:r>
      <w:r w:rsidRPr="004A008F">
        <w:rPr>
          <w:spacing w:val="0"/>
        </w:rPr>
        <w:t>An individual who fails to make a disclosure required under this section may be liable to up to a 30-day suspension of the individual’s professional licensure or certification, if any, a civil penalty of up to $1,000 for each violation, or both.  A civil penalty assessed under this subsection shall be collected by and in the name of the Department of Health in summary proceedings before a court of competent jurisdiction pursuant to the provisions of the “Penalty Enforcement Law of 1999,” P.L.199, c.274 (C.2A:58-10 et seq.)</w:t>
      </w:r>
      <w:r w:rsidRPr="004A008F">
        <w:rPr>
          <w:rFonts w:ascii="Albertus Extra Bold" w:hAnsi="Albertus Extra Bold"/>
          <w:b/>
        </w:rPr>
        <w:t>]</w:t>
      </w:r>
      <w:r w:rsidRPr="004A008F">
        <w:rPr>
          <w:spacing w:val="0"/>
        </w:rPr>
        <w:t xml:space="preserve"> </w:t>
      </w:r>
      <w:r w:rsidRPr="004A008F">
        <w:rPr>
          <w:spacing w:val="0"/>
          <w:u w:val="single"/>
        </w:rPr>
        <w:t>Each general acute care hospital, psychiatric hospital, nursing facility, group home, and assisted living facility shall establish protocols to promptly notify individuals employed by or providing services at the facility of any outbreak of an infectious disease that occurs at the facility, which notice shall be provided as soon as practicable after the outbreak is detected and shall include details, to the extent they are available, concerning the name of disease, the known modes of transmission and the transmission rate for the virus or bacterium that causes the disease, and the extent of the outbreak at the facility.  A general acute care hospital, psychiatric hospital, nursing facility, group home, or assisted living facility that fails to provide notice of an outbreak of an infectious disease as required under this subsection shall be subject to monetary penalties, adverse licensure action, or other disciplinary actions as shall be established by rules and regulations promulgated by the Commissioner of Health</w:t>
      </w:r>
      <w:r w:rsidRPr="004A008F">
        <w:rPr>
          <w:rFonts w:ascii="Albertus Extra Bold" w:hAnsi="Albertus Extra Bold"/>
          <w:b/>
          <w:vertAlign w:val="superscript"/>
        </w:rPr>
        <w:t>1</w:t>
      </w:r>
      <w:r w:rsidRPr="004A008F">
        <w:rPr>
          <w:spacing w:val="0"/>
        </w:rPr>
        <w:t xml:space="preserve"> .</w:t>
      </w:r>
    </w:p>
    <w:p w:rsidR="00E034FC" w:rsidRPr="00D71D68" w:rsidRDefault="00E034FC" w:rsidP="00686AEB"/>
    <w:p w:rsidR="004A008F" w:rsidRPr="004A008F" w:rsidRDefault="004A008F" w:rsidP="004A00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A008F">
        <w:rPr>
          <w:spacing w:val="0"/>
        </w:rPr>
        <w:tab/>
      </w:r>
      <w:r w:rsidRPr="004A008F">
        <w:rPr>
          <w:rFonts w:ascii="Albertus Extra Bold" w:hAnsi="Albertus Extra Bold"/>
          <w:b/>
          <w:vertAlign w:val="superscript"/>
        </w:rPr>
        <w:t>1</w:t>
      </w:r>
      <w:r w:rsidRPr="004A008F">
        <w:rPr>
          <w:spacing w:val="0"/>
          <w:u w:val="single"/>
        </w:rPr>
        <w:t>2.  The Commissioner of Health shall adopt rules and regulations, pursuant to the “Administrative Procedure Act,” P.L.1968, c.410 (C.52:14B-1 et seq.), as may be necessary to effectuate the provisions of this act.</w:t>
      </w:r>
      <w:r w:rsidRPr="004A008F">
        <w:rPr>
          <w:rFonts w:ascii="Albertus Extra Bold" w:hAnsi="Albertus Extra Bold"/>
          <w:b/>
          <w:vertAlign w:val="superscript"/>
        </w:rPr>
        <w:t>1</w:t>
      </w:r>
    </w:p>
    <w:p w:rsidR="004A008F" w:rsidRDefault="004A008F" w:rsidP="00686AEB"/>
    <w:p w:rsidR="00686AEB" w:rsidRPr="00AA7880" w:rsidRDefault="00686AEB" w:rsidP="00686AEB">
      <w:r>
        <w:tab/>
      </w:r>
      <w:r w:rsidR="004A008F">
        <w:rPr>
          <w:rFonts w:ascii="Albertus Extra Bold" w:hAnsi="Albertus Extra Bold"/>
          <w:b/>
          <w:vertAlign w:val="superscript"/>
        </w:rPr>
        <w:t>1</w:t>
      </w:r>
      <w:r w:rsidR="004A008F" w:rsidRPr="004A008F">
        <w:rPr>
          <w:rFonts w:ascii="Albertus Extra Bold" w:hAnsi="Albertus Extra Bold"/>
          <w:b/>
        </w:rPr>
        <w:t>[</w:t>
      </w:r>
      <w:r w:rsidR="00352791">
        <w:t>2</w:t>
      </w:r>
      <w:r w:rsidR="009B1359">
        <w:t>.</w:t>
      </w:r>
      <w:r w:rsidR="004A008F" w:rsidRPr="004A008F">
        <w:rPr>
          <w:rFonts w:ascii="Albertus Extra Bold" w:hAnsi="Albertus Extra Bold"/>
          <w:b/>
        </w:rPr>
        <w:t>]</w:t>
      </w:r>
      <w:r w:rsidR="004A008F">
        <w:t xml:space="preserve"> </w:t>
      </w:r>
      <w:r w:rsidR="004A008F" w:rsidRPr="004A008F">
        <w:rPr>
          <w:u w:val="single"/>
        </w:rPr>
        <w:t>3.</w:t>
      </w:r>
      <w:r w:rsidR="004A008F" w:rsidRPr="004A008F">
        <w:rPr>
          <w:rFonts w:ascii="Albertus Extra Bold" w:hAnsi="Albertus Extra Bold"/>
          <w:b/>
          <w:vertAlign w:val="superscript"/>
        </w:rPr>
        <w:t>1</w:t>
      </w:r>
      <w:r w:rsidR="00352791">
        <w:tab/>
      </w:r>
      <w:r w:rsidR="009B1359">
        <w:t>This act shall take effect</w:t>
      </w:r>
      <w:r w:rsidR="00352791">
        <w:t xml:space="preserve"> 30 days after the date of enactment.</w:t>
      </w:r>
    </w:p>
    <w:sectPr w:rsidR="00686AEB" w:rsidRPr="00AA7880" w:rsidSect="004A008F">
      <w:headerReference w:type="default" r:id="rId12"/>
      <w:footerReference w:type="default" r:id="rId13"/>
      <w:headerReference w:type="first" r:id="rId14"/>
      <w:footerReference w:type="first" r:id="rId15"/>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8B" w:rsidRDefault="00DD768B">
      <w:r>
        <w:separator/>
      </w:r>
    </w:p>
  </w:endnote>
  <w:endnote w:type="continuationSeparator" w:id="0">
    <w:p w:rsidR="00DD768B" w:rsidRDefault="00DD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08F" w:rsidRPr="00921C91" w:rsidRDefault="004A00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008F" w:rsidRPr="00921C91" w:rsidRDefault="004A008F">
    <w:pPr>
      <w:pStyle w:val="Footer"/>
      <w:rPr>
        <w:szCs w:val="18"/>
      </w:rPr>
    </w:pPr>
  </w:p>
  <w:p w:rsidR="004A008F" w:rsidRPr="00921C91" w:rsidRDefault="004A00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008F" w:rsidRDefault="004A008F" w:rsidP="00686AEB">
    <w:pPr>
      <w:pStyle w:val="Footer"/>
    </w:pPr>
    <w:r>
      <w:tab/>
      <w:t>Matter enclosed in superscript numerals has been adopted as follows:</w:t>
    </w:r>
  </w:p>
  <w:p w:rsidR="004A008F" w:rsidRDefault="004A008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17, 2020.</w:t>
    </w:r>
  </w:p>
  <w:p w:rsidR="004A008F" w:rsidRPr="004A008F" w:rsidRDefault="004A008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8B" w:rsidRDefault="00DD768B">
      <w:r>
        <w:separator/>
      </w:r>
    </w:p>
  </w:footnote>
  <w:footnote w:type="continuationSeparator" w:id="0">
    <w:p w:rsidR="00DD768B" w:rsidRDefault="00DD7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36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8E8" w:rsidRDefault="005D78E8" w:rsidP="005D78E8">
    <w:pPr>
      <w:pStyle w:val="bpuHeadSpon"/>
    </w:pPr>
    <w:r w:rsidRPr="005D78E8">
      <w:rPr>
        <w:rStyle w:val="bpuHeadSponChar"/>
      </w:rPr>
      <w:t>S2865</w:t>
    </w:r>
    <w:r>
      <w:t xml:space="preserve"> </w:t>
    </w:r>
    <w:r w:rsidR="004A008F">
      <w:t xml:space="preserve">[1R] </w:t>
    </w:r>
    <w:r>
      <w:t>SINGER</w:t>
    </w:r>
  </w:p>
  <w:p w:rsidR="005D78E8" w:rsidRDefault="005D78E8" w:rsidP="005D78E8">
    <w:pPr>
      <w:pStyle w:val="bpuHeadSpon"/>
    </w:pPr>
    <w:r>
      <w:fldChar w:fldCharType="begin"/>
    </w:r>
    <w:r>
      <w:instrText xml:space="preserve"> PAGE  \* MERGEFORMAT </w:instrText>
    </w:r>
    <w:r>
      <w:fldChar w:fldCharType="separate"/>
    </w:r>
    <w:r w:rsidR="00AE367F">
      <w:rPr>
        <w:noProof/>
      </w:rPr>
      <w:t>3</w:t>
    </w:r>
    <w:r>
      <w:fldChar w:fldCharType="end"/>
    </w:r>
  </w:p>
  <w:p w:rsidR="005D78E8" w:rsidRDefault="005D78E8" w:rsidP="005D78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8E8" w:rsidRDefault="005D78E8" w:rsidP="005D78E8">
    <w:pPr>
      <w:pStyle w:val="bpuHeadSpon"/>
    </w:pPr>
    <w:r w:rsidRPr="005D78E8">
      <w:rPr>
        <w:rStyle w:val="bpuHeadSponChar"/>
      </w:rPr>
      <w:t>S2865</w:t>
    </w:r>
    <w:r>
      <w:t xml:space="preserve"> </w:t>
    </w:r>
    <w:r w:rsidR="004A008F">
      <w:t xml:space="preserve">[1R] </w:t>
    </w:r>
    <w:r>
      <w:t>SINGER</w:t>
    </w:r>
  </w:p>
  <w:p w:rsidR="005D78E8" w:rsidRDefault="005D78E8" w:rsidP="005D78E8">
    <w:pPr>
      <w:pStyle w:val="bpuHeadSpon"/>
    </w:pPr>
    <w:r>
      <w:fldChar w:fldCharType="begin"/>
    </w:r>
    <w:r>
      <w:instrText xml:space="preserve"> PAGE  \* MERGEFORMAT </w:instrText>
    </w:r>
    <w:r>
      <w:fldChar w:fldCharType="separate"/>
    </w:r>
    <w:r w:rsidR="00AE367F">
      <w:rPr>
        <w:noProof/>
      </w:rPr>
      <w:t>2</w:t>
    </w:r>
    <w:r>
      <w:fldChar w:fldCharType="end"/>
    </w:r>
  </w:p>
  <w:p w:rsidR="005D78E8" w:rsidRDefault="005D78E8" w:rsidP="005D78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68B"/>
    <w:rsid w:val="000051BD"/>
    <w:rsid w:val="0001159B"/>
    <w:rsid w:val="000160A5"/>
    <w:rsid w:val="0002335B"/>
    <w:rsid w:val="00024E0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56E"/>
    <w:rsid w:val="0013000E"/>
    <w:rsid w:val="00133F81"/>
    <w:rsid w:val="00135943"/>
    <w:rsid w:val="0014664C"/>
    <w:rsid w:val="001645FB"/>
    <w:rsid w:val="00165EFA"/>
    <w:rsid w:val="00173D2B"/>
    <w:rsid w:val="00181676"/>
    <w:rsid w:val="00183603"/>
    <w:rsid w:val="0018410E"/>
    <w:rsid w:val="00194E78"/>
    <w:rsid w:val="0019707B"/>
    <w:rsid w:val="00197E8B"/>
    <w:rsid w:val="00197FA4"/>
    <w:rsid w:val="001A161A"/>
    <w:rsid w:val="001A3B79"/>
    <w:rsid w:val="001A66B6"/>
    <w:rsid w:val="001B4716"/>
    <w:rsid w:val="001B4EA4"/>
    <w:rsid w:val="001C20CD"/>
    <w:rsid w:val="001C7C52"/>
    <w:rsid w:val="001D25F3"/>
    <w:rsid w:val="001E15F1"/>
    <w:rsid w:val="001E16FA"/>
    <w:rsid w:val="001E6213"/>
    <w:rsid w:val="001F14C7"/>
    <w:rsid w:val="001F7405"/>
    <w:rsid w:val="00205533"/>
    <w:rsid w:val="00212B8D"/>
    <w:rsid w:val="00222983"/>
    <w:rsid w:val="002370D0"/>
    <w:rsid w:val="00255958"/>
    <w:rsid w:val="00257FA2"/>
    <w:rsid w:val="0026003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791"/>
    <w:rsid w:val="00354334"/>
    <w:rsid w:val="00360140"/>
    <w:rsid w:val="0036180C"/>
    <w:rsid w:val="00363CF5"/>
    <w:rsid w:val="00364344"/>
    <w:rsid w:val="003702CA"/>
    <w:rsid w:val="00370617"/>
    <w:rsid w:val="00382F1F"/>
    <w:rsid w:val="003840E5"/>
    <w:rsid w:val="00391DA4"/>
    <w:rsid w:val="00394DE0"/>
    <w:rsid w:val="003A3C64"/>
    <w:rsid w:val="003A3F83"/>
    <w:rsid w:val="003C02E3"/>
    <w:rsid w:val="003C43EF"/>
    <w:rsid w:val="003C5A6B"/>
    <w:rsid w:val="003C7FB2"/>
    <w:rsid w:val="003D24DE"/>
    <w:rsid w:val="003E26D4"/>
    <w:rsid w:val="003E47BA"/>
    <w:rsid w:val="003F3B37"/>
    <w:rsid w:val="0040195A"/>
    <w:rsid w:val="00402DC0"/>
    <w:rsid w:val="00416C4B"/>
    <w:rsid w:val="0041751E"/>
    <w:rsid w:val="004211E5"/>
    <w:rsid w:val="00422091"/>
    <w:rsid w:val="00422BE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08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8E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6DC"/>
    <w:rsid w:val="00707CD3"/>
    <w:rsid w:val="00716BB9"/>
    <w:rsid w:val="00723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35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947"/>
    <w:rsid w:val="00A6754E"/>
    <w:rsid w:val="00A70F58"/>
    <w:rsid w:val="00A72987"/>
    <w:rsid w:val="00A7346B"/>
    <w:rsid w:val="00A74C6E"/>
    <w:rsid w:val="00A84C4F"/>
    <w:rsid w:val="00A932A1"/>
    <w:rsid w:val="00A96E06"/>
    <w:rsid w:val="00AA42C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67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3C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BE4"/>
    <w:rsid w:val="00D500E9"/>
    <w:rsid w:val="00D507BC"/>
    <w:rsid w:val="00D6090A"/>
    <w:rsid w:val="00D62FA3"/>
    <w:rsid w:val="00D63B6F"/>
    <w:rsid w:val="00D64A90"/>
    <w:rsid w:val="00D9410B"/>
    <w:rsid w:val="00D9695B"/>
    <w:rsid w:val="00DA2417"/>
    <w:rsid w:val="00DA5585"/>
    <w:rsid w:val="00DB02AC"/>
    <w:rsid w:val="00DB6AA2"/>
    <w:rsid w:val="00DD768B"/>
    <w:rsid w:val="00DE10D1"/>
    <w:rsid w:val="00DE2514"/>
    <w:rsid w:val="00DE6851"/>
    <w:rsid w:val="00DF03EE"/>
    <w:rsid w:val="00E01B71"/>
    <w:rsid w:val="00E034F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170"/>
    <w:rsid w:val="00EC5281"/>
    <w:rsid w:val="00EC791D"/>
    <w:rsid w:val="00EC7CA6"/>
    <w:rsid w:val="00ED3C5D"/>
    <w:rsid w:val="00ED4553"/>
    <w:rsid w:val="00EE05B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638A6D"/>
  <w15:docId w15:val="{FCFFD4AA-A8BF-40BB-A8BC-4EB29B89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781</Words>
  <Characters>4291</Characters>
  <Application>Microsoft Office Word</Application>
  <DocSecurity>0</DocSecurity>
  <Lines>103</Lines>
  <Paragraphs>22</Paragraphs>
  <ScaleCrop>false</ScaleCrop>
  <HeadingPairs>
    <vt:vector size="2" baseType="variant">
      <vt:variant>
        <vt:lpstr>Title</vt:lpstr>
      </vt:variant>
      <vt:variant>
        <vt:i4>1</vt:i4>
      </vt:variant>
    </vt:vector>
  </HeadingPairs>
  <TitlesOfParts>
    <vt:vector size="1" baseType="lpstr">
      <vt:lpstr>S2865 1R</vt:lpstr>
    </vt:vector>
  </TitlesOfParts>
  <Manager>R230</Manager>
  <Company>NJ Office of Legislative Services</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S2865 1R</dc:title>
  <dc:subject>20-9382</dc:subject>
  <dc:creator>Senator  SINGER</dc:creator>
  <cp:keywords>S2865|3|HS |259|219|122|!||</cp:keywords>
  <dc:description>INTRODUCED SEPTEMBER 14, 2020_x000d_
AMENDED DECEMBER 17, 2020</dc:description>
  <cp:lastModifiedBy>Bektas, Brenda</cp:lastModifiedBy>
  <cp:revision>2</cp:revision>
  <cp:lastPrinted>2020-09-02T18:12:00Z</cp:lastPrinted>
  <dcterms:created xsi:type="dcterms:W3CDTF">2020-12-18T16:17:00Z</dcterms:created>
  <dcterms:modified xsi:type="dcterms:W3CDTF">2020-12-18T16:17:00Z</dcterms:modified>
  <cp:category>s.1: C.26:2H-12.90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