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A04" w:rsidRDefault="00BA7A04" w:rsidP="00BA7A04">
      <w:pPr>
        <w:pStyle w:val="bpuReprint"/>
      </w:pPr>
      <w:bookmarkStart w:id="0" w:name="bpuFrontPg"/>
      <w:bookmarkEnd w:id="0"/>
      <w:r>
        <w:t>[First Reprint]</w:t>
      </w:r>
    </w:p>
    <w:p w:rsidR="00433DA7" w:rsidRDefault="00433DA7" w:rsidP="00433DA7">
      <w:pPr>
        <w:pStyle w:val="bpuBill"/>
      </w:pPr>
      <w:r>
        <w:t xml:space="preserve">SENATE, No. 2875 </w:t>
      </w:r>
    </w:p>
    <w:p w:rsidR="00433DA7" w:rsidRPr="009D38FF" w:rsidRDefault="00433DA7" w:rsidP="00433D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1380" r:id="rId7"/>
        </w:object>
      </w:r>
    </w:p>
    <w:p w:rsidR="00433DA7" w:rsidRDefault="00433DA7" w:rsidP="00433DA7">
      <w:pPr>
        <w:pStyle w:val="bpuState"/>
      </w:pPr>
      <w:r>
        <w:t>STATE OF NEW JERSEY</w:t>
      </w:r>
    </w:p>
    <w:p w:rsidR="00433DA7" w:rsidRDefault="00433DA7" w:rsidP="00433DA7">
      <w:pPr>
        <w:pStyle w:val="bpuLegislature"/>
      </w:pPr>
      <w:r>
        <w:t>219th LEGISLATURE</w:t>
      </w:r>
    </w:p>
    <w:p w:rsidR="00433DA7" w:rsidRDefault="00433DA7" w:rsidP="00433DA7">
      <w:pPr>
        <w:pStyle w:val="bpuWpGraphic"/>
      </w:pPr>
      <w:r>
        <w:object w:dxaOrig="8985" w:dyaOrig="255">
          <v:shape id="_x0000_i1026" type="#_x0000_t75" style="width:6in;height:12pt" o:ole="">
            <v:imagedata r:id="rId6" o:title=""/>
          </v:shape>
          <o:OLEObject Type="Embed" ProgID="WPWin6.1" ShapeID="_x0000_i1026" DrawAspect="Content" ObjectID="_1669811381" r:id="rId8"/>
        </w:object>
      </w:r>
      <w:r>
        <w:t xml:space="preserve">  </w:t>
      </w:r>
    </w:p>
    <w:p w:rsidR="00433DA7" w:rsidRDefault="00433DA7" w:rsidP="00433DA7">
      <w:pPr>
        <w:pStyle w:val="bpuIntro"/>
      </w:pPr>
      <w:r>
        <w:t>INTRODUCED SEPTEMBER 14, 2020</w:t>
      </w:r>
    </w:p>
    <w:p w:rsidR="00433DA7" w:rsidRDefault="00433DA7" w:rsidP="00433DA7">
      <w:pPr>
        <w:pStyle w:val="bpuIntro"/>
      </w:pPr>
    </w:p>
    <w:p w:rsidR="00433DA7" w:rsidRDefault="00433DA7" w:rsidP="00433DA7">
      <w:pPr>
        <w:pStyle w:val="bpuIntro"/>
        <w:sectPr w:rsidR="00433DA7" w:rsidSect="00D349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3DA7" w:rsidRDefault="00433DA7" w:rsidP="00433DA7">
      <w:pPr>
        <w:pStyle w:val="bpuIntro"/>
      </w:pPr>
    </w:p>
    <w:p w:rsidR="00433DA7" w:rsidRDefault="00433DA7" w:rsidP="00433DA7">
      <w:pPr>
        <w:pStyle w:val="bpuSponsor"/>
      </w:pPr>
      <w:r>
        <w:t>Sponsored by:</w:t>
      </w:r>
    </w:p>
    <w:p w:rsidR="00433DA7" w:rsidRDefault="00433DA7" w:rsidP="00433DA7">
      <w:pPr>
        <w:pStyle w:val="bpuSponsor"/>
      </w:pPr>
      <w:r>
        <w:t>Senator  TROY SINGLETON</w:t>
      </w:r>
    </w:p>
    <w:p w:rsidR="00433DA7" w:rsidRDefault="00433DA7" w:rsidP="00433DA7">
      <w:pPr>
        <w:pStyle w:val="bpuSponsor"/>
      </w:pPr>
      <w:r>
        <w:t>District 7 (Burlington)</w:t>
      </w:r>
    </w:p>
    <w:p w:rsidR="00433DA7" w:rsidRDefault="00D349A8" w:rsidP="00D349A8">
      <w:pPr>
        <w:pStyle w:val="bpuSponsor"/>
      </w:pPr>
      <w:r>
        <w:t>Senator  SHIRLEY K. TURNER</w:t>
      </w:r>
    </w:p>
    <w:p w:rsidR="00D349A8" w:rsidRDefault="00D349A8" w:rsidP="00D349A8">
      <w:pPr>
        <w:pStyle w:val="bpuSponsor"/>
      </w:pPr>
      <w:r>
        <w:t>District 15 (Hunterdon and Mercer)</w:t>
      </w:r>
    </w:p>
    <w:p w:rsidR="00D349A8" w:rsidRPr="00D349A8" w:rsidRDefault="00D349A8" w:rsidP="00D349A8">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p>
    <w:p w:rsidR="00433DA7" w:rsidRDefault="00433DA7" w:rsidP="00433DA7">
      <w:pPr>
        <w:pStyle w:val="bpuSponsor"/>
      </w:pPr>
      <w:r>
        <w:t>SYNOPSIS</w:t>
      </w:r>
    </w:p>
    <w:p w:rsidR="00433DA7" w:rsidRDefault="00433DA7" w:rsidP="00433DA7">
      <w:pPr>
        <w:pStyle w:val="bpuNormText"/>
      </w:pPr>
      <w:r>
        <w:tab/>
        <w:t xml:space="preserve">Revises certain restrictions on ownership of medical cannabis alternative treatment centers. </w:t>
      </w:r>
    </w:p>
    <w:p w:rsidR="00433DA7" w:rsidRDefault="00433DA7" w:rsidP="00433DA7">
      <w:pPr>
        <w:pStyle w:val="bpuNormText"/>
      </w:pPr>
    </w:p>
    <w:p w:rsidR="00433DA7" w:rsidRDefault="00433DA7" w:rsidP="00433DA7">
      <w:pPr>
        <w:pStyle w:val="bpuSponsor"/>
      </w:pPr>
      <w:r>
        <w:t xml:space="preserve">CURRENT VERSION OF TEXT </w:t>
      </w:r>
    </w:p>
    <w:p w:rsidR="00433DA7" w:rsidRDefault="00BA7A04" w:rsidP="00433DA7">
      <w:pPr>
        <w:pStyle w:val="bpuNormText"/>
      </w:pPr>
      <w:r>
        <w:tab/>
        <w:t>As reported by the Senate Judiciary Committee on December 14, 2020, with amendments.</w:t>
      </w:r>
    </w:p>
    <w:p w:rsidR="00433DA7" w:rsidRDefault="00433DA7" w:rsidP="00433D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DA7" w:rsidRDefault="00433DA7" w:rsidP="008916EC">
      <w:pPr>
        <w:pStyle w:val="FronterPage"/>
        <w:tabs>
          <w:tab w:val="clear" w:pos="720"/>
          <w:tab w:val="clear" w:pos="1440"/>
          <w:tab w:val="clear" w:pos="2160"/>
          <w:tab w:val="clear" w:pos="2880"/>
          <w:tab w:val="clear" w:pos="3600"/>
          <w:tab w:val="clear" w:pos="4320"/>
          <w:tab w:val="clear" w:pos="5040"/>
        </w:tabs>
        <w:sectPr w:rsidR="00433DA7" w:rsidSect="00433DA7">
          <w:type w:val="continuous"/>
          <w:pgSz w:w="12240" w:h="20160" w:code="5"/>
          <w:pgMar w:top="1440" w:right="2275" w:bottom="1440" w:left="2275" w:header="72" w:footer="720" w:gutter="0"/>
          <w:pgNumType w:start="1"/>
          <w:cols w:space="720"/>
          <w:docGrid w:linePitch="360"/>
        </w:sectPr>
      </w:pPr>
    </w:p>
    <w:p w:rsidR="00686AEB" w:rsidRPr="00677316" w:rsidRDefault="00B63C77" w:rsidP="003E47BA">
      <w:pPr>
        <w:pStyle w:val="HangingAnAct"/>
        <w:rPr>
          <w:rStyle w:val="HangingAnActChar"/>
        </w:rPr>
      </w:pPr>
      <w:r>
        <w:rPr>
          <w:rStyle w:val="BillHead"/>
        </w:rPr>
        <w:lastRenderedPageBreak/>
        <w:t>An Act</w:t>
      </w:r>
      <w:r w:rsidR="00686AEB" w:rsidRPr="006B7FA7">
        <w:rPr>
          <w:rStyle w:val="HangingAnActChar"/>
        </w:rPr>
        <w:t xml:space="preserve"> </w:t>
      </w:r>
      <w:r w:rsidR="00277E02">
        <w:rPr>
          <w:rStyle w:val="HangingAnActChar"/>
        </w:rPr>
        <w:t>concerning medical cannabis and</w:t>
      </w:r>
      <w:bookmarkStart w:id="1" w:name="_GoBack"/>
      <w:bookmarkEnd w:id="1"/>
      <w:r w:rsidR="00277E02">
        <w:rPr>
          <w:rStyle w:val="HangingAnActChar"/>
        </w:rPr>
        <w:t xml:space="preserve"> amending P.L.2009, c.307.</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1.</w:t>
      </w:r>
      <w:r w:rsidRPr="00BA7A04">
        <w:rPr>
          <w:spacing w:val="0"/>
        </w:rPr>
        <w:tab/>
        <w:t>Section 7 of P.L.2009, c.307 (C.24:6I-7) is amended to read as follows:</w:t>
      </w:r>
    </w:p>
    <w:p w:rsidR="00BA7A04" w:rsidRPr="00BA7A04" w:rsidRDefault="00BA7A04" w:rsidP="00BA7A0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A7A04">
        <w:rPr>
          <w:spacing w:val="0"/>
        </w:rPr>
        <w:tab/>
        <w:t>7.</w:t>
      </w:r>
      <w:r w:rsidRPr="00BA7A04">
        <w:rPr>
          <w:spacing w:val="0"/>
        </w:rPr>
        <w:tab/>
        <w:t>a.</w:t>
      </w:r>
      <w:r w:rsidRPr="00BA7A04">
        <w:rPr>
          <w:spacing w:val="0"/>
        </w:rPr>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(2)</w:t>
      </w:r>
      <w:r w:rsidRPr="00BA7A04">
        <w:rPr>
          <w:spacing w:val="0"/>
        </w:rPr>
        <w:tab/>
        <w:t xml:space="preserve">(a)  For a period of 18 months after the effective date of P.L.2019, c.153 (C.24:6I-5.1 et al.):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(i)</w:t>
      </w:r>
      <w:r w:rsidRPr="00BA7A04">
        <w:rPr>
          <w:spacing w:val="0"/>
        </w:rPr>
        <w:tab/>
        <w:t>no applicant may concurrently hold more than one permit issued by the commission pursuant to this section, regardless of type; and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(ii)</w:t>
      </w:r>
      <w:r w:rsidRPr="00BA7A04">
        <w:rPr>
          <w:spacing w:val="0"/>
        </w:rP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(b)</w:t>
      </w:r>
      <w:r w:rsidRPr="00BA7A04">
        <w:rPr>
          <w:spacing w:val="0"/>
        </w:rP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A7A04">
        <w:rPr>
          <w:spacing w:val="0"/>
        </w:rPr>
        <w:tab/>
        <w:t>(c)</w:t>
      </w:r>
      <w:r w:rsidRPr="00BA7A04">
        <w:rPr>
          <w:spacing w:val="0"/>
        </w:rPr>
        <w:tab/>
        <w:t xml:space="preserve">The provisions of subparagraph </w:t>
      </w:r>
      <w:r>
        <w:rPr>
          <w:spacing w:val="0"/>
        </w:rPr>
        <w:t>(a) of this paragraph shall not</w:t>
      </w:r>
      <w:r>
        <w:br w:type="page"/>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lastRenderedPageBreak/>
        <w:t xml:space="preserve">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rsidRPr="00BA7A04">
        <w:rPr>
          <w:spacing w:val="0"/>
        </w:rPr>
        <w:t>subsubparagraph</w:t>
      </w:r>
      <w:proofErr w:type="spellEnd"/>
      <w:r w:rsidRPr="00BA7A04">
        <w:rPr>
          <w:spacing w:val="0"/>
        </w:rPr>
        <w:t xml:space="preserve"> (i) of subparagraph (a) of this paragraph, or to one of the three alternative treatment centers issued a permit pursuant to section 11 of P.L.2019, c.153 (C.24:6I-7.1) that are expressly exempt from the provisions of </w:t>
      </w:r>
      <w:proofErr w:type="spellStart"/>
      <w:r w:rsidRPr="00BA7A04">
        <w:rPr>
          <w:spacing w:val="0"/>
        </w:rPr>
        <w:t>subsubparagraph</w:t>
      </w:r>
      <w:proofErr w:type="spellEnd"/>
      <w:r w:rsidRPr="00BA7A04">
        <w:rPr>
          <w:spacing w:val="0"/>
        </w:rPr>
        <w:t xml:space="preserve"> (i)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(d)</w:t>
      </w:r>
      <w:r w:rsidRPr="00BA7A04">
        <w:rPr>
          <w:spacing w:val="0"/>
        </w:rPr>
        <w:tab/>
      </w:r>
      <w:r w:rsidRPr="00BA7A04">
        <w:rPr>
          <w:spacing w:val="0"/>
          <w:u w:val="single"/>
        </w:rPr>
        <w:t>(i)</w:t>
      </w:r>
      <w:r w:rsidRPr="00BA7A04">
        <w:rPr>
          <w:spacing w:val="0"/>
        </w:rPr>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rsidRPr="00BA7A04">
        <w:rPr>
          <w:spacing w:val="0"/>
        </w:rPr>
        <w:t>subsubparagraph</w:t>
      </w:r>
      <w:proofErr w:type="spellEnd"/>
      <w:r w:rsidRPr="00BA7A04">
        <w:rPr>
          <w:spacing w:val="0"/>
        </w:rPr>
        <w:t xml:space="preserve"> (i)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r>
      <w:r w:rsidRPr="00BA7A04">
        <w:rPr>
          <w:spacing w:val="0"/>
          <w:u w:val="single"/>
        </w:rPr>
        <w:t>(ii)</w:t>
      </w:r>
      <w:r w:rsidRPr="00BA7A04">
        <w:rPr>
          <w:spacing w:val="0"/>
          <w:u w:val="single"/>
        </w:rPr>
        <w:tab/>
        <w:t xml:space="preserve">Notwithstanding the provisions of </w:t>
      </w:r>
      <w:proofErr w:type="spellStart"/>
      <w:r w:rsidRPr="00BA7A04">
        <w:rPr>
          <w:spacing w:val="0"/>
          <w:u w:val="single"/>
        </w:rPr>
        <w:t>subsubparagraph</w:t>
      </w:r>
      <w:proofErr w:type="spellEnd"/>
      <w:r w:rsidRPr="00BA7A04">
        <w:rPr>
          <w:spacing w:val="0"/>
          <w:u w:val="single"/>
        </w:rPr>
        <w:t xml:space="preserve"> (i) of this subparagraph, an</w:t>
      </w:r>
      <w:r w:rsidRPr="00BA7A04">
        <w:rPr>
          <w:spacing w:val="0"/>
        </w:rPr>
        <w:t xml:space="preserve"> </w:t>
      </w:r>
      <w:r w:rsidRPr="00BA7A04">
        <w:rPr>
          <w:rFonts w:ascii="Albertus Extra Bold" w:hAnsi="Albertus Extra Bold"/>
          <w:b/>
          <w:vertAlign w:val="superscript"/>
        </w:rPr>
        <w:t>1</w:t>
      </w:r>
      <w:r w:rsidRPr="00BA7A04">
        <w:rPr>
          <w:spacing w:val="0"/>
          <w:u w:val="single"/>
        </w:rPr>
        <w:t>investor,</w:t>
      </w:r>
      <w:r w:rsidRPr="00BA7A04">
        <w:rPr>
          <w:rFonts w:ascii="Albertus Extra Bold" w:hAnsi="Albertus Extra Bold"/>
          <w:b/>
          <w:vertAlign w:val="superscript"/>
        </w:rPr>
        <w:t>1</w:t>
      </w:r>
      <w:r w:rsidRPr="00BA7A04">
        <w:rPr>
          <w:spacing w:val="0"/>
        </w:rPr>
        <w:t xml:space="preserve"> </w:t>
      </w:r>
      <w:r w:rsidRPr="00BA7A04">
        <w:rPr>
          <w:spacing w:val="0"/>
          <w:u w:val="single"/>
        </w:rPr>
        <w:t>investor group</w:t>
      </w:r>
      <w:r w:rsidRPr="00BA7A04">
        <w:rPr>
          <w:spacing w:val="0"/>
        </w:rPr>
        <w:t xml:space="preserve"> </w:t>
      </w:r>
      <w:r w:rsidRPr="00BA7A04">
        <w:rPr>
          <w:rFonts w:ascii="Albertus Extra Bold" w:hAnsi="Albertus Extra Bold"/>
          <w:b/>
          <w:vertAlign w:val="superscript"/>
        </w:rPr>
        <w:t>1</w:t>
      </w:r>
      <w:r w:rsidRPr="00BA7A04">
        <w:rPr>
          <w:spacing w:val="0"/>
          <w:u w:val="single"/>
        </w:rPr>
        <w:t>,</w:t>
      </w:r>
      <w:r w:rsidRPr="00BA7A04">
        <w:rPr>
          <w:rFonts w:ascii="Albertus Extra Bold" w:hAnsi="Albertus Extra Bold"/>
          <w:b/>
          <w:vertAlign w:val="superscript"/>
        </w:rPr>
        <w:t>1</w:t>
      </w:r>
      <w:r w:rsidRPr="00BA7A04">
        <w:rPr>
          <w:spacing w:val="0"/>
        </w:rPr>
        <w:t xml:space="preserve"> </w:t>
      </w:r>
      <w:r w:rsidRPr="00BA7A04">
        <w:rPr>
          <w:spacing w:val="0"/>
          <w:u w:val="single"/>
        </w:rPr>
        <w:t>or</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a</w:t>
      </w:r>
      <w:r w:rsidRPr="00BA7A04">
        <w:rPr>
          <w:rFonts w:ascii="Albertus Extra Bold" w:hAnsi="Albertus Extra Bold"/>
          <w:b/>
        </w:rPr>
        <w:t>]</w:t>
      </w:r>
      <w:r w:rsidRPr="00BA7A04">
        <w:rPr>
          <w:rFonts w:ascii="Albertus Extra Bold" w:hAnsi="Albertus Extra Bold"/>
          <w:b/>
          <w:vertAlign w:val="superscript"/>
        </w:rPr>
        <w:t>1</w:t>
      </w:r>
      <w:r w:rsidRPr="00BA7A04">
        <w:rPr>
          <w:spacing w:val="0"/>
        </w:rPr>
        <w:t xml:space="preserve"> </w:t>
      </w:r>
      <w:r w:rsidRPr="00BA7A04">
        <w:rPr>
          <w:spacing w:val="0"/>
          <w:u w:val="single"/>
        </w:rPr>
        <w:t>fund</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formed for the sole and express purpose of providing</w:t>
      </w:r>
      <w:r w:rsidRPr="00BA7A04">
        <w:rPr>
          <w:rFonts w:ascii="Albertus Extra Bold" w:hAnsi="Albertus Extra Bold"/>
          <w:b/>
        </w:rPr>
        <w:t>]</w:t>
      </w:r>
      <w:r w:rsidRPr="00BA7A04">
        <w:rPr>
          <w:spacing w:val="0"/>
        </w:rPr>
        <w:t xml:space="preserve"> </w:t>
      </w:r>
      <w:r w:rsidRPr="00BA7A04">
        <w:rPr>
          <w:spacing w:val="0"/>
          <w:u w:val="single"/>
        </w:rPr>
        <w:t>that provides significant</w:t>
      </w:r>
      <w:r w:rsidRPr="00BA7A04">
        <w:rPr>
          <w:rFonts w:ascii="Albertus Extra Bold" w:hAnsi="Albertus Extra Bold"/>
          <w:b/>
          <w:vertAlign w:val="superscript"/>
        </w:rPr>
        <w:t>1</w:t>
      </w:r>
      <w:r w:rsidRPr="00BA7A04">
        <w:rPr>
          <w:spacing w:val="0"/>
        </w:rPr>
        <w:t xml:space="preserve"> </w:t>
      </w:r>
      <w:r w:rsidRPr="00BA7A04">
        <w:rPr>
          <w:spacing w:val="0"/>
          <w:u w:val="single"/>
        </w:rPr>
        <w:t>financial</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and</w:t>
      </w:r>
      <w:r w:rsidRPr="00BA7A04">
        <w:rPr>
          <w:rFonts w:ascii="Albertus Extra Bold" w:hAnsi="Albertus Extra Bold"/>
          <w:b/>
        </w:rPr>
        <w:t>]</w:t>
      </w:r>
      <w:r w:rsidRPr="00BA7A04">
        <w:rPr>
          <w:spacing w:val="0"/>
        </w:rPr>
        <w:t xml:space="preserve"> </w:t>
      </w:r>
      <w:r w:rsidRPr="00BA7A04">
        <w:rPr>
          <w:spacing w:val="0"/>
          <w:u w:val="single"/>
        </w:rPr>
        <w:t>or</w:t>
      </w:r>
      <w:r w:rsidRPr="00BA7A04">
        <w:rPr>
          <w:rFonts w:ascii="Albertus Extra Bold" w:hAnsi="Albertus Extra Bold"/>
          <w:b/>
          <w:vertAlign w:val="superscript"/>
        </w:rPr>
        <w:t>1</w:t>
      </w:r>
      <w:r w:rsidRPr="00BA7A04">
        <w:rPr>
          <w:spacing w:val="0"/>
        </w:rPr>
        <w:t xml:space="preserve"> </w:t>
      </w:r>
      <w:r w:rsidRPr="00BA7A04">
        <w:rPr>
          <w:spacing w:val="0"/>
          <w:u w:val="single"/>
        </w:rPr>
        <w:t>technical assistance or the</w:t>
      </w:r>
      <w:r w:rsidRPr="00BA7A04">
        <w:rPr>
          <w:spacing w:val="0"/>
        </w:rPr>
        <w:t xml:space="preserve"> </w:t>
      </w:r>
      <w:r w:rsidRPr="00BA7A04">
        <w:rPr>
          <w:rFonts w:ascii="Albertus Extra Bold" w:hAnsi="Albertus Extra Bold"/>
          <w:b/>
          <w:vertAlign w:val="superscript"/>
        </w:rPr>
        <w:t>1</w:t>
      </w:r>
      <w:r w:rsidRPr="00BA7A04">
        <w:rPr>
          <w:spacing w:val="0"/>
          <w:u w:val="single"/>
        </w:rPr>
        <w:t>significant</w:t>
      </w:r>
      <w:r w:rsidRPr="00BA7A04">
        <w:rPr>
          <w:rFonts w:ascii="Albertus Extra Bold" w:hAnsi="Albertus Extra Bold"/>
          <w:b/>
          <w:vertAlign w:val="superscript"/>
        </w:rPr>
        <w:t>1</w:t>
      </w:r>
      <w:r w:rsidRPr="00BA7A04">
        <w:rPr>
          <w:spacing w:val="0"/>
        </w:rPr>
        <w:t xml:space="preserve"> </w:t>
      </w:r>
      <w:r w:rsidRPr="00BA7A04">
        <w:rPr>
          <w:spacing w:val="0"/>
          <w:u w:val="single"/>
        </w:rPr>
        <w:t>use of intellectual property</w:t>
      </w:r>
      <w:r w:rsidRPr="00BA7A04">
        <w:rPr>
          <w:spacing w:val="0"/>
        </w:rPr>
        <w:t xml:space="preserve"> </w:t>
      </w:r>
      <w:r w:rsidRPr="00BA7A04">
        <w:rPr>
          <w:rFonts w:ascii="Albertus Extra Bold" w:hAnsi="Albertus Extra Bold"/>
          <w:b/>
          <w:vertAlign w:val="superscript"/>
        </w:rPr>
        <w:t>1</w:t>
      </w:r>
      <w:r w:rsidRPr="00BA7A04">
        <w:rPr>
          <w:spacing w:val="0"/>
          <w:u w:val="single"/>
        </w:rPr>
        <w:t>, or a combination thereof,</w:t>
      </w:r>
      <w:r w:rsidRPr="00BA7A04">
        <w:rPr>
          <w:rFonts w:ascii="Albertus Extra Bold" w:hAnsi="Albertus Extra Bold"/>
          <w:b/>
          <w:vertAlign w:val="superscript"/>
        </w:rPr>
        <w:t>1</w:t>
      </w:r>
      <w:r w:rsidRPr="00BA7A04">
        <w:rPr>
          <w:spacing w:val="0"/>
        </w:rPr>
        <w:t xml:space="preserve"> </w:t>
      </w:r>
      <w:r w:rsidRPr="00BA7A04">
        <w:rPr>
          <w:spacing w:val="0"/>
          <w:u w:val="single"/>
        </w:rPr>
        <w:t xml:space="preserve">to an applicant for a medical cannabis dispensary permit, which </w:t>
      </w:r>
      <w:r w:rsidRPr="00BA7A04">
        <w:rPr>
          <w:spacing w:val="0"/>
          <w:u w:val="single"/>
        </w:rPr>
        <w:lastRenderedPageBreak/>
        <w:t>applicant</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rPr>
          <w:spacing w:val="0"/>
        </w:rPr>
        <w:t xml:space="preserve"> </w:t>
      </w:r>
      <w:r w:rsidRPr="00BA7A04">
        <w:rPr>
          <w:spacing w:val="0"/>
          <w:u w:val="single"/>
        </w:rPr>
        <w:t>has been certified as a minority business pursuant to P.L.1986, c.195 (C.52:27H-21.18 et seq.), a women's business pursuant to P.L.1986, c.195 (C.52:27H-21.18 et seq.)</w:t>
      </w:r>
      <w:r w:rsidRPr="00BA7A04">
        <w:rPr>
          <w:spacing w:val="0"/>
        </w:rPr>
        <w:t xml:space="preserve"> </w:t>
      </w:r>
      <w:r w:rsidRPr="00BA7A04">
        <w:rPr>
          <w:rFonts w:ascii="Albertus Extra Bold" w:hAnsi="Albertus Extra Bold"/>
          <w:b/>
          <w:vertAlign w:val="superscript"/>
        </w:rPr>
        <w:t>1</w:t>
      </w:r>
      <w:r w:rsidRPr="00BA7A04">
        <w:rPr>
          <w:spacing w:val="0"/>
          <w:u w:val="single"/>
        </w:rPr>
        <w:t>,</w:t>
      </w:r>
      <w:r w:rsidRPr="00BA7A04">
        <w:rPr>
          <w:rFonts w:ascii="Albertus Extra Bold" w:hAnsi="Albertus Extra Bold"/>
          <w:b/>
          <w:vertAlign w:val="superscript"/>
        </w:rPr>
        <w:t>1</w:t>
      </w:r>
      <w:r w:rsidRPr="00BA7A04">
        <w:rPr>
          <w:spacing w:val="0"/>
        </w:rPr>
        <w:t xml:space="preserve"> </w:t>
      </w:r>
      <w:r w:rsidRPr="00BA7A04">
        <w:rPr>
          <w:spacing w:val="0"/>
          <w:u w:val="single"/>
        </w:rPr>
        <w:t>or</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that</w:t>
      </w:r>
      <w:r w:rsidRPr="00BA7A04">
        <w:rPr>
          <w:rFonts w:ascii="Albertus Extra Bold" w:hAnsi="Albertus Extra Bold"/>
          <w:b/>
        </w:rPr>
        <w:t>]</w:t>
      </w:r>
      <w:r w:rsidRPr="00BA7A04">
        <w:rPr>
          <w:rFonts w:ascii="Albertus Extra Bold" w:hAnsi="Albertus Extra Bold"/>
          <w:b/>
          <w:vertAlign w:val="superscript"/>
        </w:rPr>
        <w:t>1</w:t>
      </w:r>
      <w:r w:rsidRPr="00BA7A04">
        <w:rPr>
          <w:spacing w:val="0"/>
        </w:rPr>
        <w:t xml:space="preserve"> </w:t>
      </w:r>
      <w:r w:rsidRPr="00BA7A04">
        <w:rPr>
          <w:spacing w:val="0"/>
          <w:u w:val="single"/>
        </w:rPr>
        <w:t>is a disabled-veterans' business, as defined in section 2 of P.L.2015, c.116 (C.52:32-31.2), may own up to a 40 percent interest in up to 10 entities that have been issued a medical cannabis dispensary permit, provided that</w:t>
      </w:r>
      <w:r w:rsidRPr="00BA7A04">
        <w:rPr>
          <w:spacing w:val="0"/>
        </w:rPr>
        <w:t xml:space="preserve"> </w:t>
      </w:r>
      <w:r w:rsidRPr="00BA7A04">
        <w:rPr>
          <w:rFonts w:ascii="Albertus Extra Bold" w:hAnsi="Albertus Extra Bold"/>
          <w:b/>
          <w:vertAlign w:val="superscript"/>
        </w:rPr>
        <w:t>1</w:t>
      </w:r>
      <w:r w:rsidRPr="00BA7A04">
        <w:rPr>
          <w:spacing w:val="0"/>
          <w:u w:val="single"/>
        </w:rPr>
        <w:t>each such medical cannabis dispensary is a certified minority or women’s business or a disabled-veterans’ business, and</w:t>
      </w:r>
      <w:r w:rsidRPr="00BA7A04">
        <w:rPr>
          <w:rFonts w:ascii="Albertus Extra Bold" w:hAnsi="Albertus Extra Bold"/>
          <w:b/>
          <w:vertAlign w:val="superscript"/>
        </w:rPr>
        <w:t>1</w:t>
      </w:r>
      <w:r w:rsidRPr="00BA7A04">
        <w:rPr>
          <w:spacing w:val="0"/>
        </w:rPr>
        <w:t xml:space="preserve"> </w:t>
      </w:r>
      <w:r w:rsidRPr="00BA7A04">
        <w:rPr>
          <w:spacing w:val="0"/>
          <w:u w:val="single"/>
        </w:rPr>
        <w:t>the terms of the agreement to</w:t>
      </w:r>
      <w:r w:rsidRPr="00BA7A04">
        <w:rPr>
          <w:spacing w:val="0"/>
        </w:rPr>
        <w:t xml:space="preserve"> </w:t>
      </w:r>
      <w:r w:rsidRPr="00BA7A04">
        <w:rPr>
          <w:rFonts w:ascii="Albertus Extra Bold" w:hAnsi="Albertus Extra Bold"/>
          <w:b/>
          <w:vertAlign w:val="superscript"/>
        </w:rPr>
        <w:t>1</w:t>
      </w:r>
      <w:r w:rsidRPr="00BA7A04">
        <w:rPr>
          <w:spacing w:val="0"/>
          <w:u w:val="single"/>
        </w:rPr>
        <w:t>provide significant</w:t>
      </w:r>
      <w:r w:rsidRPr="00BA7A04">
        <w:rPr>
          <w:rFonts w:ascii="Albertus Extra Bold" w:hAnsi="Albertus Extra Bold"/>
          <w:b/>
          <w:vertAlign w:val="superscript"/>
        </w:rPr>
        <w:t>1</w:t>
      </w:r>
      <w:r w:rsidRPr="00BA7A04">
        <w:rPr>
          <w:spacing w:val="0"/>
        </w:rPr>
        <w:t xml:space="preserve"> </w:t>
      </w:r>
      <w:r w:rsidRPr="00BA7A04">
        <w:rPr>
          <w:spacing w:val="0"/>
          <w:u w:val="single"/>
        </w:rPr>
        <w:t>financial or technical assistance or the</w:t>
      </w:r>
      <w:r w:rsidRPr="00BA7A04">
        <w:rPr>
          <w:spacing w:val="0"/>
        </w:rPr>
        <w:t xml:space="preserve"> </w:t>
      </w:r>
      <w:r w:rsidRPr="00BA7A04">
        <w:rPr>
          <w:rFonts w:ascii="Albertus Extra Bold" w:hAnsi="Albertus Extra Bold"/>
          <w:b/>
          <w:vertAlign w:val="superscript"/>
        </w:rPr>
        <w:t>1</w:t>
      </w:r>
      <w:r w:rsidRPr="00BA7A04">
        <w:rPr>
          <w:spacing w:val="0"/>
          <w:u w:val="single"/>
        </w:rPr>
        <w:t>significant</w:t>
      </w:r>
      <w:r w:rsidRPr="00BA7A04">
        <w:rPr>
          <w:rFonts w:ascii="Albertus Extra Bold" w:hAnsi="Albertus Extra Bold"/>
          <w:b/>
          <w:vertAlign w:val="superscript"/>
        </w:rPr>
        <w:t>1</w:t>
      </w:r>
      <w:r w:rsidRPr="00BA7A04">
        <w:rPr>
          <w:spacing w:val="0"/>
        </w:rPr>
        <w:t xml:space="preserve"> </w:t>
      </w:r>
      <w:r w:rsidRPr="00BA7A04">
        <w:rPr>
          <w:spacing w:val="0"/>
          <w:u w:val="single"/>
        </w:rPr>
        <w:t>use of intellectual property,</w:t>
      </w:r>
      <w:r w:rsidRPr="00BA7A04">
        <w:rPr>
          <w:spacing w:val="0"/>
        </w:rPr>
        <w:t xml:space="preserve"> </w:t>
      </w:r>
      <w:r w:rsidRPr="00BA7A04">
        <w:rPr>
          <w:rFonts w:ascii="Albertus Extra Bold" w:hAnsi="Albertus Extra Bold"/>
          <w:b/>
          <w:vertAlign w:val="superscript"/>
        </w:rPr>
        <w:t>1</w:t>
      </w:r>
      <w:r w:rsidRPr="00BA7A04">
        <w:rPr>
          <w:spacing w:val="0"/>
          <w:u w:val="single"/>
        </w:rPr>
        <w:t>or a combination thereof,</w:t>
      </w:r>
      <w:r w:rsidRPr="00BA7A04">
        <w:rPr>
          <w:rFonts w:ascii="Albertus Extra Bold" w:hAnsi="Albertus Extra Bold"/>
          <w:b/>
          <w:vertAlign w:val="superscript"/>
        </w:rPr>
        <w:t>1</w:t>
      </w:r>
      <w:r w:rsidRPr="00BA7A04">
        <w:rPr>
          <w:spacing w:val="0"/>
        </w:rPr>
        <w:t xml:space="preserve"> </w:t>
      </w:r>
      <w:r w:rsidRPr="00BA7A04">
        <w:rPr>
          <w:spacing w:val="0"/>
          <w:u w:val="single"/>
        </w:rPr>
        <w:t>whether provided in the form of equity, a loan, or otherwise, including interest rates, returns, and fees, are commercially reasonable based on the terms generally provided to comparable businesses.  The terms of the agreement for the provision of</w:t>
      </w:r>
      <w:r w:rsidRPr="00BA7A04">
        <w:rPr>
          <w:spacing w:val="0"/>
        </w:rPr>
        <w:t xml:space="preserve"> </w:t>
      </w:r>
      <w:r w:rsidRPr="00BA7A04">
        <w:rPr>
          <w:rFonts w:ascii="Albertus Extra Bold" w:hAnsi="Albertus Extra Bold"/>
          <w:b/>
          <w:vertAlign w:val="superscript"/>
        </w:rPr>
        <w:t>1</w:t>
      </w:r>
      <w:r w:rsidRPr="00BA7A04">
        <w:rPr>
          <w:spacing w:val="0"/>
          <w:u w:val="single"/>
        </w:rPr>
        <w:t>significant</w:t>
      </w:r>
      <w:r w:rsidRPr="00BA7A04">
        <w:rPr>
          <w:rFonts w:ascii="Albertus Extra Bold" w:hAnsi="Albertus Extra Bold"/>
          <w:b/>
          <w:vertAlign w:val="superscript"/>
        </w:rPr>
        <w:t>1</w:t>
      </w:r>
      <w:r w:rsidRPr="00BA7A04">
        <w:rPr>
          <w:spacing w:val="0"/>
        </w:rPr>
        <w:t xml:space="preserve"> </w:t>
      </w:r>
      <w:r w:rsidRPr="00BA7A04">
        <w:rPr>
          <w:spacing w:val="0"/>
          <w:u w:val="single"/>
        </w:rPr>
        <w:t>financial or technical assistance or the</w:t>
      </w:r>
      <w:r w:rsidRPr="00BA7A04">
        <w:rPr>
          <w:spacing w:val="0"/>
        </w:rPr>
        <w:t xml:space="preserve"> </w:t>
      </w:r>
      <w:r w:rsidRPr="00BA7A04">
        <w:rPr>
          <w:rFonts w:ascii="Albertus Extra Bold" w:hAnsi="Albertus Extra Bold"/>
          <w:b/>
          <w:vertAlign w:val="superscript"/>
        </w:rPr>
        <w:t>1</w:t>
      </w:r>
      <w:r w:rsidRPr="00BA7A04">
        <w:rPr>
          <w:spacing w:val="0"/>
          <w:u w:val="single"/>
        </w:rPr>
        <w:t>significant</w:t>
      </w:r>
      <w:r w:rsidRPr="00BA7A04">
        <w:rPr>
          <w:rFonts w:ascii="Albertus Extra Bold" w:hAnsi="Albertus Extra Bold"/>
          <w:b/>
          <w:vertAlign w:val="superscript"/>
        </w:rPr>
        <w:t>1</w:t>
      </w:r>
      <w:r w:rsidRPr="00BA7A04">
        <w:rPr>
          <w:spacing w:val="0"/>
        </w:rPr>
        <w:t xml:space="preserve"> </w:t>
      </w:r>
      <w:r w:rsidRPr="00BA7A04">
        <w:rPr>
          <w:spacing w:val="0"/>
          <w:u w:val="single"/>
        </w:rPr>
        <w:t>use of intellectual property</w:t>
      </w:r>
      <w:r w:rsidRPr="00BA7A04">
        <w:rPr>
          <w:spacing w:val="0"/>
        </w:rPr>
        <w:t xml:space="preserve"> </w:t>
      </w:r>
      <w:r w:rsidRPr="00BA7A04">
        <w:rPr>
          <w:rFonts w:ascii="Albertus Extra Bold" w:hAnsi="Albertus Extra Bold"/>
          <w:b/>
          <w:vertAlign w:val="superscript"/>
        </w:rPr>
        <w:t>1</w:t>
      </w:r>
      <w:r w:rsidRPr="00BA7A04">
        <w:rPr>
          <w:spacing w:val="0"/>
          <w:u w:val="single"/>
        </w:rPr>
        <w:t>, or a combination thereof,</w:t>
      </w:r>
      <w:r w:rsidRPr="00BA7A04">
        <w:rPr>
          <w:rFonts w:ascii="Albertus Extra Bold" w:hAnsi="Albertus Extra Bold"/>
          <w:b/>
          <w:vertAlign w:val="superscript"/>
        </w:rPr>
        <w:t>1</w:t>
      </w:r>
      <w:r w:rsidRPr="00BA7A04">
        <w:rPr>
          <w:spacing w:val="0"/>
        </w:rPr>
        <w:t xml:space="preserve"> </w:t>
      </w:r>
      <w:r w:rsidRPr="00BA7A04">
        <w:rPr>
          <w:spacing w:val="0"/>
          <w:u w:val="single"/>
        </w:rPr>
        <w:t>may include performance, quality, and other requirements as a condition of providing the financial or technical assistance or use of intellectual property.</w:t>
      </w:r>
      <w:r w:rsidRPr="00BA7A04">
        <w:rPr>
          <w:spacing w:val="0"/>
        </w:rPr>
        <w:t xml:space="preserve">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A7A04">
        <w:rPr>
          <w:spacing w:val="0"/>
        </w:rPr>
        <w:tab/>
      </w:r>
      <w:r w:rsidRPr="00BA7A04">
        <w:rPr>
          <w:rFonts w:ascii="Albertus Extra Bold" w:hAnsi="Albertus Extra Bold"/>
          <w:b/>
          <w:vertAlign w:val="superscript"/>
        </w:rPr>
        <w:t>1</w:t>
      </w:r>
      <w:r w:rsidRPr="00BA7A04">
        <w:rPr>
          <w:spacing w:val="0"/>
          <w:u w:val="single"/>
        </w:rPr>
        <w:t xml:space="preserve">An applicant for a medical cannabis dispensary permit that receives significant financial or technical assistance or the significant use of intellectual property under this </w:t>
      </w:r>
      <w:proofErr w:type="spellStart"/>
      <w:r w:rsidRPr="00BA7A04">
        <w:rPr>
          <w:spacing w:val="0"/>
          <w:u w:val="single"/>
        </w:rPr>
        <w:t>subsubparagraph</w:t>
      </w:r>
      <w:proofErr w:type="spellEnd"/>
      <w:r w:rsidRPr="00BA7A04">
        <w:rPr>
          <w:spacing w:val="0"/>
          <w:u w:val="single"/>
        </w:rPr>
        <w:t xml:space="preserve"> shall pay back to the investor, investor group, or fund the full value of the financial or technical assistance or intellectual property provided under the agreement, plus any applicable interest and fees, within seven years after the date the applicant entered into the agreement for the provision of significant financial or technical assistance or significant use of intellectual property, but no earlier than three years after the date of the agreement.  An investor, investor group, or fund that has acquired an ownership interest in one or more entities that have been issued a medical cannabis dispensary permit as authorized under this </w:t>
      </w:r>
      <w:proofErr w:type="spellStart"/>
      <w:r w:rsidRPr="00BA7A04">
        <w:rPr>
          <w:spacing w:val="0"/>
          <w:u w:val="single"/>
        </w:rPr>
        <w:t>subsubparagraph</w:t>
      </w:r>
      <w:proofErr w:type="spellEnd"/>
      <w:r w:rsidRPr="00BA7A04">
        <w:rPr>
          <w:spacing w:val="0"/>
          <w:u w:val="single"/>
        </w:rPr>
        <w:t xml:space="preserve">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r w:rsidRPr="00BA7A04">
        <w:rPr>
          <w:rFonts w:ascii="Albertus Extra Bold" w:hAnsi="Albertus Extra Bold"/>
          <w:b/>
          <w:vertAlign w:val="superscript"/>
        </w:rPr>
        <w:t>1</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r>
      <w:r w:rsidRPr="00BA7A04">
        <w:rPr>
          <w:spacing w:val="0"/>
          <w:u w:val="single"/>
        </w:rPr>
        <w:t>In no case may the controlling interest in the entity that holds</w:t>
      </w:r>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the</w:t>
      </w:r>
      <w:r w:rsidRPr="00BA7A04">
        <w:rPr>
          <w:rFonts w:ascii="Albertus Extra Bold" w:hAnsi="Albertus Extra Bold"/>
          <w:b/>
        </w:rPr>
        <w:t>]</w:t>
      </w:r>
      <w:r w:rsidRPr="00BA7A04">
        <w:rPr>
          <w:spacing w:val="0"/>
        </w:rPr>
        <w:t xml:space="preserve"> </w:t>
      </w:r>
      <w:r w:rsidRPr="00BA7A04">
        <w:rPr>
          <w:spacing w:val="0"/>
          <w:u w:val="single"/>
        </w:rPr>
        <w:t>a</w:t>
      </w:r>
      <w:r w:rsidRPr="00BA7A04">
        <w:rPr>
          <w:rFonts w:ascii="Albertus Extra Bold" w:hAnsi="Albertus Extra Bold"/>
          <w:b/>
          <w:vertAlign w:val="superscript"/>
        </w:rPr>
        <w:t>1</w:t>
      </w:r>
      <w:r w:rsidRPr="00BA7A04">
        <w:rPr>
          <w:spacing w:val="0"/>
        </w:rPr>
        <w:t xml:space="preserve"> </w:t>
      </w:r>
      <w:r w:rsidRPr="00BA7A04">
        <w:rPr>
          <w:spacing w:val="0"/>
          <w:u w:val="single"/>
        </w:rPr>
        <w:t>medical cannabis dispensary permit</w:t>
      </w:r>
      <w:r w:rsidRPr="00BA7A04">
        <w:rPr>
          <w:spacing w:val="0"/>
        </w:rPr>
        <w:t xml:space="preserve"> </w:t>
      </w:r>
      <w:r w:rsidRPr="00BA7A04">
        <w:rPr>
          <w:rFonts w:ascii="Albertus Extra Bold" w:hAnsi="Albertus Extra Bold"/>
          <w:b/>
          <w:vertAlign w:val="superscript"/>
        </w:rPr>
        <w:t>1</w:t>
      </w:r>
      <w:r w:rsidRPr="00BA7A04">
        <w:rPr>
          <w:spacing w:val="0"/>
          <w:u w:val="single"/>
        </w:rPr>
        <w:t>in which an investor, investor group, or fund owns an interest as authorized under this subsubparagraph</w:t>
      </w:r>
      <w:r w:rsidRPr="00BA7A04">
        <w:rPr>
          <w:rFonts w:ascii="Albertus Extra Bold" w:hAnsi="Albertus Extra Bold"/>
          <w:b/>
          <w:vertAlign w:val="superscript"/>
        </w:rPr>
        <w:t>1</w:t>
      </w:r>
      <w:r w:rsidRPr="00BA7A04">
        <w:rPr>
          <w:spacing w:val="0"/>
        </w:rPr>
        <w:t xml:space="preserve"> </w:t>
      </w:r>
      <w:r w:rsidRPr="00BA7A04">
        <w:rPr>
          <w:spacing w:val="0"/>
          <w:u w:val="single"/>
        </w:rPr>
        <w:t>revert to the</w:t>
      </w:r>
      <w:r w:rsidRPr="00BA7A04">
        <w:rPr>
          <w:spacing w:val="0"/>
        </w:rPr>
        <w:t xml:space="preserve"> </w:t>
      </w:r>
      <w:r w:rsidRPr="00BA7A04">
        <w:rPr>
          <w:rFonts w:ascii="Albertus Extra Bold" w:hAnsi="Albertus Extra Bold"/>
          <w:b/>
          <w:vertAlign w:val="superscript"/>
        </w:rPr>
        <w:t>1</w:t>
      </w:r>
      <w:r w:rsidRPr="00BA7A04">
        <w:rPr>
          <w:spacing w:val="0"/>
          <w:u w:val="single"/>
        </w:rPr>
        <w:t>investor,</w:t>
      </w:r>
      <w:r w:rsidRPr="00BA7A04">
        <w:rPr>
          <w:rFonts w:ascii="Albertus Extra Bold" w:hAnsi="Albertus Extra Bold"/>
          <w:b/>
          <w:vertAlign w:val="superscript"/>
        </w:rPr>
        <w:t>1</w:t>
      </w:r>
      <w:r w:rsidRPr="00BA7A04">
        <w:rPr>
          <w:spacing w:val="0"/>
        </w:rPr>
        <w:t xml:space="preserve"> </w:t>
      </w:r>
      <w:r w:rsidRPr="00BA7A04">
        <w:rPr>
          <w:spacing w:val="0"/>
          <w:u w:val="single"/>
        </w:rPr>
        <w:t>investor group</w:t>
      </w:r>
      <w:r w:rsidRPr="00BA7A04">
        <w:rPr>
          <w:spacing w:val="0"/>
        </w:rPr>
        <w:t xml:space="preserve"> </w:t>
      </w:r>
      <w:r w:rsidRPr="00BA7A04">
        <w:rPr>
          <w:rFonts w:ascii="Albertus Extra Bold" w:hAnsi="Albertus Extra Bold"/>
          <w:b/>
          <w:vertAlign w:val="superscript"/>
        </w:rPr>
        <w:t>1</w:t>
      </w:r>
      <w:r w:rsidRPr="00BA7A04">
        <w:rPr>
          <w:spacing w:val="0"/>
          <w:u w:val="single"/>
        </w:rPr>
        <w:t>,</w:t>
      </w:r>
      <w:r w:rsidRPr="00BA7A04">
        <w:rPr>
          <w:rFonts w:ascii="Albertus Extra Bold" w:hAnsi="Albertus Extra Bold"/>
          <w:b/>
          <w:vertAlign w:val="superscript"/>
        </w:rPr>
        <w:t>1</w:t>
      </w:r>
      <w:r w:rsidRPr="00BA7A04">
        <w:rPr>
          <w:spacing w:val="0"/>
        </w:rPr>
        <w:t xml:space="preserve"> </w:t>
      </w:r>
      <w:r w:rsidRPr="00BA7A04">
        <w:rPr>
          <w:spacing w:val="0"/>
          <w:u w:val="single"/>
        </w:rPr>
        <w:t xml:space="preserve">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A7A04">
        <w:rPr>
          <w:spacing w:val="0"/>
        </w:rPr>
        <w:tab/>
      </w:r>
      <w:r w:rsidRPr="00BA7A04">
        <w:rPr>
          <w:spacing w:val="0"/>
          <w:u w:val="single"/>
        </w:rPr>
        <w:t>An entity issued a medical cannabis cultivator,</w:t>
      </w:r>
      <w:r w:rsidRPr="00BA7A04">
        <w:rPr>
          <w:spacing w:val="0"/>
        </w:rPr>
        <w:t xml:space="preserve"> </w:t>
      </w:r>
      <w:r w:rsidRPr="00BA7A04">
        <w:rPr>
          <w:rFonts w:ascii="Albertus Extra Bold" w:hAnsi="Albertus Extra Bold"/>
          <w:b/>
          <w:vertAlign w:val="superscript"/>
        </w:rPr>
        <w:t>1</w:t>
      </w:r>
      <w:r w:rsidRPr="00BA7A04">
        <w:rPr>
          <w:spacing w:val="0"/>
          <w:u w:val="single"/>
        </w:rPr>
        <w:t>medical cannabis</w:t>
      </w:r>
      <w:r w:rsidRPr="00BA7A04">
        <w:rPr>
          <w:rFonts w:ascii="Albertus Extra Bold" w:hAnsi="Albertus Extra Bold"/>
          <w:b/>
          <w:vertAlign w:val="superscript"/>
        </w:rPr>
        <w:t>1</w:t>
      </w:r>
      <w:r w:rsidRPr="00BA7A04">
        <w:rPr>
          <w:spacing w:val="0"/>
        </w:rPr>
        <w:t xml:space="preserve"> </w:t>
      </w:r>
      <w:r w:rsidRPr="00BA7A04">
        <w:rPr>
          <w:spacing w:val="0"/>
          <w:u w:val="single"/>
        </w:rPr>
        <w:t>manufacturer, or</w:t>
      </w:r>
      <w:r w:rsidRPr="00BA7A04">
        <w:rPr>
          <w:spacing w:val="0"/>
        </w:rPr>
        <w:t xml:space="preserve"> </w:t>
      </w:r>
      <w:r w:rsidRPr="00BA7A04">
        <w:rPr>
          <w:rFonts w:ascii="Albertus Extra Bold" w:hAnsi="Albertus Extra Bold"/>
          <w:b/>
          <w:vertAlign w:val="superscript"/>
        </w:rPr>
        <w:t>1</w:t>
      </w:r>
      <w:r w:rsidRPr="00BA7A04">
        <w:rPr>
          <w:spacing w:val="0"/>
          <w:u w:val="single"/>
        </w:rPr>
        <w:t>medical cannabis</w:t>
      </w:r>
      <w:r w:rsidRPr="00BA7A04">
        <w:rPr>
          <w:rFonts w:ascii="Albertus Extra Bold" w:hAnsi="Albertus Extra Bold"/>
          <w:b/>
          <w:vertAlign w:val="superscript"/>
        </w:rPr>
        <w:t>1</w:t>
      </w:r>
      <w:r w:rsidRPr="00BA7A04">
        <w:rPr>
          <w:spacing w:val="0"/>
        </w:rPr>
        <w:t xml:space="preserve"> </w:t>
      </w:r>
      <w:r w:rsidRPr="00BA7A04">
        <w:rPr>
          <w:spacing w:val="0"/>
          <w:u w:val="single"/>
        </w:rPr>
        <w:t xml:space="preserve">dispensary permit, or an </w:t>
      </w:r>
      <w:r w:rsidRPr="00BA7A04">
        <w:rPr>
          <w:spacing w:val="0"/>
          <w:u w:val="single"/>
        </w:rPr>
        <w:lastRenderedPageBreak/>
        <w:t xml:space="preserve">individual associated with the ownership or management of the entity, may participate in an investor group or a fund that meets the requirements of this </w:t>
      </w:r>
      <w:proofErr w:type="spellStart"/>
      <w:r w:rsidRPr="00BA7A04">
        <w:rPr>
          <w:spacing w:val="0"/>
          <w:u w:val="single"/>
        </w:rPr>
        <w:t>subsubparagraph</w:t>
      </w:r>
      <w:proofErr w:type="spellEnd"/>
      <w:r w:rsidRPr="00BA7A04">
        <w:rPr>
          <w:spacing w:val="0"/>
        </w:rPr>
        <w:t xml:space="preserve"> </w:t>
      </w:r>
      <w:r w:rsidRPr="00BA7A04">
        <w:rPr>
          <w:rFonts w:ascii="Albertus Extra Bold" w:hAnsi="Albertus Extra Bold"/>
          <w:b/>
          <w:vertAlign w:val="superscript"/>
        </w:rPr>
        <w:t>1</w:t>
      </w:r>
      <w:r w:rsidRPr="00BA7A04">
        <w:rPr>
          <w:rFonts w:ascii="Albertus Extra Bold" w:hAnsi="Albertus Extra Bold"/>
          <w:b/>
        </w:rPr>
        <w:t>[</w:t>
      </w:r>
      <w:r w:rsidRPr="00BA7A04">
        <w:rPr>
          <w:spacing w:val="0"/>
          <w:u w:val="single"/>
        </w:rPr>
        <w:t>, provided that the entity’s or individual’s interest in the investor group or the fund does not exceed 10 percent</w:t>
      </w:r>
      <w:r w:rsidRPr="00BA7A04">
        <w:rPr>
          <w:rFonts w:ascii="Albertus Extra Bold" w:hAnsi="Albertus Extra Bold"/>
          <w:b/>
        </w:rPr>
        <w:t>]</w:t>
      </w:r>
      <w:r w:rsidRPr="00BA7A04">
        <w:rPr>
          <w:rFonts w:ascii="Albertus Extra Bold" w:hAnsi="Albertus Extra Bold"/>
          <w:b/>
          <w:vertAlign w:val="superscript"/>
        </w:rPr>
        <w:t>1</w:t>
      </w:r>
      <w:r w:rsidRPr="00BA7A04">
        <w:rPr>
          <w:spacing w:val="0"/>
        </w:rPr>
        <w:t xml:space="preserve"> </w:t>
      </w:r>
      <w:r w:rsidRPr="00BA7A04">
        <w:rPr>
          <w:spacing w:val="0"/>
          <w:u w:val="single"/>
        </w:rPr>
        <w: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(e)</w:t>
      </w:r>
      <w:r w:rsidRPr="00BA7A04">
        <w:rPr>
          <w:spacing w:val="0"/>
        </w:rP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(f)</w:t>
      </w:r>
      <w:r w:rsidRPr="00BA7A04">
        <w:rPr>
          <w:spacing w:val="0"/>
        </w:rPr>
        <w:tab/>
        <w:t>Any medical cannabis dispensary permit holder may be approved by the commission to operate a medical cannabis consumption area, provided that the permit holder otherwise meets the requirements of section 28 of P.L.2019, c.153 (C.24:6I-21).</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(g)</w:t>
      </w:r>
      <w:r w:rsidRPr="00BA7A04">
        <w:rPr>
          <w:spacing w:val="0"/>
        </w:rPr>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(3)</w:t>
      </w:r>
      <w:r w:rsidRPr="00BA7A04">
        <w:rPr>
          <w:spacing w:val="0"/>
        </w:rP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w:t>
      </w:r>
      <w:r w:rsidRPr="00BA7A04">
        <w:rPr>
          <w:spacing w:val="0"/>
        </w:rPr>
        <w:lastRenderedPageBreak/>
        <w:t xml:space="preserve">dispensaries issued permits pursuant to this section may be nonprofit or for-profit entities.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(4)</w:t>
      </w:r>
      <w:r w:rsidRPr="00BA7A04">
        <w:rPr>
          <w:spacing w:val="0"/>
        </w:rP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(5)</w:t>
      </w:r>
      <w:r w:rsidRPr="00BA7A04">
        <w:rPr>
          <w:spacing w:val="0"/>
        </w:rPr>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BA7A04">
        <w:rPr>
          <w:spacing w:val="0"/>
        </w:rPr>
        <w:t>prerolled</w:t>
      </w:r>
      <w:proofErr w:type="spellEnd"/>
      <w:r w:rsidRPr="00BA7A04">
        <w:rPr>
          <w:spacing w:val="0"/>
        </w:rPr>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(b)</w:t>
      </w:r>
      <w:r w:rsidRPr="00BA7A04">
        <w:rPr>
          <w:spacing w:val="0"/>
        </w:rP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(c)</w:t>
      </w:r>
      <w:r w:rsidRPr="00BA7A04">
        <w:rPr>
          <w:spacing w:val="0"/>
        </w:rPr>
        <w:tab/>
        <w:t>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i. of section 27 of P.L.2019, c.153 (C.24:6I-20).</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lastRenderedPageBreak/>
        <w:tab/>
        <w:t>(6)</w:t>
      </w:r>
      <w:r w:rsidRPr="00BA7A04">
        <w:rPr>
          <w:spacing w:val="0"/>
        </w:rP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(7)</w:t>
      </w:r>
      <w:r w:rsidRPr="00BA7A04">
        <w:rPr>
          <w:spacing w:val="0"/>
        </w:rPr>
        <w:tab/>
        <w:t>Nonprofit medical cannabis cultivators, medical cannabis manufacturers, and medical cannabis dispensaries need not be recognized as a 501(c)(3) organization by the federal Internal Revenue Service.</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b.</w:t>
      </w:r>
      <w:r w:rsidRPr="00BA7A04">
        <w:rPr>
          <w:spacing w:val="0"/>
        </w:rPr>
        <w:tab/>
        <w:t>The commission shall require that an applicant provide such information as the commission determines to be necessary pursuant to regulations adopted pursuant to P.L.2009, c.307 (C.24:6I-1 et al.).</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c.</w:t>
      </w:r>
      <w:r w:rsidRPr="00BA7A04">
        <w:rPr>
          <w:spacing w:val="0"/>
        </w:rPr>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d.</w:t>
      </w:r>
      <w:r w:rsidRPr="00BA7A04">
        <w:rPr>
          <w:spacing w:val="0"/>
        </w:rPr>
        <w:tab/>
        <w:t xml:space="preserve">(1)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 xml:space="preserve">Any individual seeking to become a director, officer, or employee of a medical cannabis cultivator, medical cannabis manufacturer, medical cannabis dispensary, or clinical registrant, after issuance of an </w:t>
      </w:r>
      <w:r w:rsidRPr="00BA7A04">
        <w:rPr>
          <w:spacing w:val="0"/>
        </w:rPr>
        <w:lastRenderedPageBreak/>
        <w:t>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 xml:space="preserve">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w:t>
      </w:r>
      <w:r w:rsidRPr="00BA7A04">
        <w:rPr>
          <w:spacing w:val="0"/>
        </w:rPr>
        <w:lastRenderedPageBreak/>
        <w:t>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(2)</w:t>
      </w:r>
      <w:r w:rsidRPr="00BA7A04">
        <w:rPr>
          <w:spacing w:val="0"/>
        </w:rP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(3)</w:t>
      </w:r>
      <w:r w:rsidRPr="00BA7A04">
        <w:rPr>
          <w:spacing w:val="0"/>
        </w:rP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If the applicant is disqualified because of a disqualifying conviction pursuant to the provisions of this section, the conviction that constitutes the basis for the disqualification shall be identified in the written notice.</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(4)</w:t>
      </w:r>
      <w:r w:rsidRPr="00BA7A04">
        <w:rPr>
          <w:spacing w:val="0"/>
        </w:rP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(5)</w:t>
      </w:r>
      <w:r w:rsidRPr="00BA7A04">
        <w:rPr>
          <w:spacing w:val="0"/>
        </w:rP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(6)</w:t>
      </w:r>
      <w:r w:rsidRPr="00BA7A04">
        <w:rPr>
          <w:spacing w:val="0"/>
        </w:rPr>
        <w:tab/>
        <w:t xml:space="preserve">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w:t>
      </w:r>
      <w:r w:rsidRPr="00BA7A04">
        <w:rPr>
          <w:spacing w:val="0"/>
        </w:rPr>
        <w:lastRenderedPageBreak/>
        <w:t>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(a)</w:t>
      </w:r>
      <w:r w:rsidRPr="00BA7A04">
        <w:rPr>
          <w:spacing w:val="0"/>
        </w:rPr>
        <w:tab/>
        <w:t>the nature and responsibility of the position which the convicted individual would hold, has held, or currently holds;</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(b)</w:t>
      </w:r>
      <w:r w:rsidRPr="00BA7A04">
        <w:rPr>
          <w:spacing w:val="0"/>
        </w:rPr>
        <w:tab/>
        <w:t>the nature and seriousness of the crime or offense;</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(c)</w:t>
      </w:r>
      <w:r w:rsidRPr="00BA7A04">
        <w:rPr>
          <w:spacing w:val="0"/>
        </w:rPr>
        <w:tab/>
        <w:t>the circumstances under which the crime or offense occurred;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(d)</w:t>
      </w:r>
      <w:r w:rsidRPr="00BA7A04">
        <w:rPr>
          <w:spacing w:val="0"/>
        </w:rPr>
        <w:tab/>
        <w:t>the date of the crime or offense;</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(e)</w:t>
      </w:r>
      <w:r w:rsidRPr="00BA7A04">
        <w:rPr>
          <w:spacing w:val="0"/>
        </w:rPr>
        <w:tab/>
        <w:t>the age of the individual when the crime or offense was committed;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(f)</w:t>
      </w:r>
      <w:r w:rsidRPr="00BA7A04">
        <w:rPr>
          <w:spacing w:val="0"/>
        </w:rPr>
        <w:tab/>
        <w:t>whether the crime or offense was an isolated or repeated incident;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(g)</w:t>
      </w:r>
      <w:r w:rsidRPr="00BA7A04">
        <w:rPr>
          <w:spacing w:val="0"/>
        </w:rPr>
        <w:tab/>
        <w:t>any social conditions which may have contributed to the commission of the crime or offense; and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(h)</w:t>
      </w:r>
      <w:r w:rsidRPr="00BA7A04">
        <w:rPr>
          <w:spacing w:val="0"/>
        </w:rP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BA7A04">
        <w:rPr>
          <w:spacing w:val="0"/>
        </w:rPr>
        <w:t>e.</w:t>
      </w:r>
      <w:r w:rsidRPr="00BA7A04">
        <w:rPr>
          <w:spacing w:val="0"/>
        </w:rPr>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f.</w:t>
      </w:r>
      <w:r w:rsidRPr="00BA7A04">
        <w:rPr>
          <w:spacing w:val="0"/>
        </w:rPr>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g.</w:t>
      </w:r>
      <w:r w:rsidRPr="00BA7A04">
        <w:rPr>
          <w:spacing w:val="0"/>
        </w:rP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lastRenderedPageBreak/>
        <w:tab/>
        <w:t>h.</w:t>
      </w:r>
      <w:r w:rsidRPr="00BA7A04">
        <w:rPr>
          <w:spacing w:val="0"/>
        </w:rP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BA7A04">
        <w:rPr>
          <w:spacing w:val="0"/>
        </w:rPr>
        <w:t>i.</w:t>
      </w:r>
      <w:r w:rsidRPr="00BA7A04">
        <w:rPr>
          <w:spacing w:val="0"/>
        </w:rPr>
        <w:tab/>
        <w:t>The commission shall adopt regulations to:</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(1)</w:t>
      </w:r>
      <w:r w:rsidRPr="00BA7A04">
        <w:rPr>
          <w:spacing w:val="0"/>
        </w:rP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(2)</w:t>
      </w:r>
      <w:r w:rsidRPr="00BA7A04">
        <w:rPr>
          <w:spacing w:val="0"/>
        </w:rPr>
        <w:tab/>
        <w:t xml:space="preserve">monitor, oversee, and investigate all activities performed by medical cannabis cultivators, medical cannabis manufacturers, medical cannabis dispensaries, and clinical registrants;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(3)</w:t>
      </w:r>
      <w:r w:rsidRPr="00BA7A04">
        <w:rPr>
          <w:spacing w:val="0"/>
        </w:rPr>
        <w:tab/>
        <w:t>ensure adequate security of all facilities 24 hours per day and security of all delivery methods to registered qualifying patients; and</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(4)</w:t>
      </w:r>
      <w:r w:rsidRPr="00BA7A04">
        <w:rPr>
          <w:spacing w:val="0"/>
        </w:rPr>
        <w:tab/>
        <w:t xml:space="preserve">establish thresholds for administrative action to be taken against a medical cannabis cultivator, medical cannabis manufacturer, medical cannabis dispensary, or clinical registrant and its employees, </w:t>
      </w:r>
      <w:r w:rsidRPr="00BA7A04">
        <w:rPr>
          <w:spacing w:val="0"/>
        </w:rPr>
        <w:lastRenderedPageBreak/>
        <w:t>officers, investors, directors, or governing board pursuant to subsection m. of this section, including, but not limited to, specific penalties or disciplinary actions that may be imposed in a summary proceeding.</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t xml:space="preserve">(1) </w:t>
      </w:r>
      <w:r w:rsidRPr="00BA7A04">
        <w:rPr>
          <w:spacing w:val="0"/>
        </w:rPr>
        <w:t>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(2)</w:t>
      </w:r>
      <w:r w:rsidRPr="00BA7A04">
        <w:rPr>
          <w:spacing w:val="0"/>
        </w:rP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k.</w:t>
      </w:r>
      <w:r w:rsidRPr="00BA7A04">
        <w:rPr>
          <w:spacing w:val="0"/>
        </w:rPr>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w:t>
      </w:r>
      <w:r w:rsidRPr="00BA7A04">
        <w:rPr>
          <w:spacing w:val="0"/>
        </w:rPr>
        <w:lastRenderedPageBreak/>
        <w:t xml:space="preserve">commission first organizes, the Department of Health shall have full authority to approve a sale or transfer pursuant to this paragraph.  </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(2)</w:t>
      </w:r>
      <w:r w:rsidRPr="00BA7A04">
        <w:rPr>
          <w:spacing w:val="0"/>
        </w:rP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l.</w:t>
      </w:r>
      <w:r w:rsidRPr="00BA7A04">
        <w:rPr>
          <w:spacing w:val="0"/>
        </w:rP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ab/>
        <w:t>m.</w:t>
      </w:r>
      <w:r w:rsidRPr="00BA7A04">
        <w:rPr>
          <w:spacing w:val="0"/>
        </w:rP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BA7A04" w:rsidRPr="00BA7A04" w:rsidRDefault="00BA7A04" w:rsidP="00BA7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A7A04">
        <w:rPr>
          <w:spacing w:val="0"/>
        </w:rPr>
        <w:t>(</w:t>
      </w:r>
      <w:proofErr w:type="spellStart"/>
      <w:r w:rsidRPr="00BA7A04">
        <w:rPr>
          <w:spacing w:val="0"/>
        </w:rPr>
        <w:t>cf</w:t>
      </w:r>
      <w:proofErr w:type="spellEnd"/>
      <w:r w:rsidRPr="00BA7A04">
        <w:rPr>
          <w:spacing w:val="0"/>
        </w:rPr>
        <w:t>: P.L.2019, c.153, s.10)</w:t>
      </w:r>
    </w:p>
    <w:p w:rsidR="00277E02" w:rsidRDefault="00277E02" w:rsidP="00277E02"/>
    <w:p w:rsidR="00686AEB" w:rsidRDefault="00686AEB" w:rsidP="00686AEB">
      <w:r>
        <w:tab/>
      </w:r>
      <w:r w:rsidR="007402AF">
        <w:t>2</w:t>
      </w:r>
      <w:r w:rsidR="00B63C77">
        <w:t>.</w:t>
      </w:r>
      <w:r w:rsidR="007402AF">
        <w:tab/>
      </w:r>
      <w:r w:rsidR="00B63C77">
        <w:t>This act shall take effect</w:t>
      </w:r>
      <w:r w:rsidR="007402AF">
        <w:t xml:space="preserve"> immediately.</w:t>
      </w:r>
    </w:p>
    <w:sectPr w:rsidR="00686AEB" w:rsidSect="00433D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A8" w:rsidRDefault="00D349A8" w:rsidP="00D349A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A04" w:rsidRDefault="00BA7A04" w:rsidP="00686AEB">
    <w:pPr>
      <w:pStyle w:val="Footer"/>
    </w:pPr>
    <w:r>
      <w:tab/>
      <w:t>Matter enclosed in superscript numerals has been adopted as follows:</w:t>
    </w:r>
  </w:p>
  <w:p w:rsidR="00BA7A04" w:rsidRDefault="00BA7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70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DA7" w:rsidRDefault="00433DA7" w:rsidP="00433DA7">
    <w:pPr>
      <w:pStyle w:val="bpuHeadSpon"/>
    </w:pPr>
    <w:r w:rsidRPr="00433DA7">
      <w:rPr>
        <w:rStyle w:val="bpuHeadSponChar"/>
      </w:rPr>
      <w:t>S2875</w:t>
    </w:r>
    <w:r>
      <w:t xml:space="preserve"> </w:t>
    </w:r>
    <w:r w:rsidR="00BA7A04">
      <w:t xml:space="preserve">[1R] </w:t>
    </w:r>
    <w:r>
      <w:t>SINGLETON</w:t>
    </w:r>
    <w:r w:rsidR="00D349A8">
      <w:t xml:space="preserve">, </w:t>
    </w:r>
    <w:r w:rsidR="00D349A8">
      <w:t>TURNER</w:t>
    </w:r>
  </w:p>
  <w:p w:rsidR="00433DA7" w:rsidRDefault="00433DA7" w:rsidP="00433DA7">
    <w:pPr>
      <w:pStyle w:val="bpuHeadSpon"/>
    </w:pPr>
    <w:r>
      <w:fldChar w:fldCharType="begin"/>
    </w:r>
    <w:r>
      <w:instrText xml:space="preserve"> PAGE  \* MERGEFORMAT </w:instrText>
    </w:r>
    <w:r>
      <w:fldChar w:fldCharType="separate"/>
    </w:r>
    <w:r w:rsidR="00275DC7">
      <w:rPr>
        <w:noProof/>
      </w:rPr>
      <w:t>13</w:t>
    </w:r>
    <w:r>
      <w:fldChar w:fldCharType="end"/>
    </w:r>
  </w:p>
  <w:p w:rsidR="00433DA7" w:rsidRDefault="00433DA7" w:rsidP="00433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DA7" w:rsidRDefault="00433DA7" w:rsidP="00433DA7">
    <w:pPr>
      <w:pStyle w:val="bpuHeadSpon"/>
    </w:pPr>
    <w:r w:rsidRPr="00433DA7">
      <w:rPr>
        <w:rStyle w:val="bpuHeadSponChar"/>
      </w:rPr>
      <w:t>S2875</w:t>
    </w:r>
    <w:r>
      <w:t xml:space="preserve"> </w:t>
    </w:r>
    <w:r w:rsidR="00BA7A04">
      <w:t xml:space="preserve">[1R] </w:t>
    </w:r>
    <w:r>
      <w:t>SINGLETON</w:t>
    </w:r>
    <w:r w:rsidR="00D349A8">
      <w:t xml:space="preserve">, </w:t>
    </w:r>
    <w:r w:rsidR="00D349A8">
      <w:t>TURNER</w:t>
    </w:r>
  </w:p>
  <w:p w:rsidR="00433DA7" w:rsidRDefault="00433DA7" w:rsidP="00433DA7">
    <w:pPr>
      <w:pStyle w:val="bpuHeadSpon"/>
    </w:pPr>
    <w:r>
      <w:fldChar w:fldCharType="begin"/>
    </w:r>
    <w:r>
      <w:instrText xml:space="preserve"> PAGE  \* MERGEFORMAT </w:instrText>
    </w:r>
    <w:r>
      <w:fldChar w:fldCharType="separate"/>
    </w:r>
    <w:r w:rsidR="00CA70DC">
      <w:rPr>
        <w:noProof/>
      </w:rPr>
      <w:t>2</w:t>
    </w:r>
    <w:r>
      <w:fldChar w:fldCharType="end"/>
    </w:r>
  </w:p>
  <w:p w:rsidR="00433DA7" w:rsidRDefault="00433DA7" w:rsidP="00433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C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DC7"/>
    <w:rsid w:val="002776B0"/>
    <w:rsid w:val="00277E02"/>
    <w:rsid w:val="00286C7E"/>
    <w:rsid w:val="002A1029"/>
    <w:rsid w:val="002A3A1A"/>
    <w:rsid w:val="002A4692"/>
    <w:rsid w:val="002A51BA"/>
    <w:rsid w:val="002B2E26"/>
    <w:rsid w:val="002B3FE6"/>
    <w:rsid w:val="002B4E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3DA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AF"/>
    <w:rsid w:val="00741FBA"/>
    <w:rsid w:val="007502CB"/>
    <w:rsid w:val="00752D79"/>
    <w:rsid w:val="00752E20"/>
    <w:rsid w:val="00756EDE"/>
    <w:rsid w:val="00781B4D"/>
    <w:rsid w:val="007824BF"/>
    <w:rsid w:val="00783B8D"/>
    <w:rsid w:val="00794B94"/>
    <w:rsid w:val="00794BD4"/>
    <w:rsid w:val="007A2F73"/>
    <w:rsid w:val="007A3061"/>
    <w:rsid w:val="007A5A0B"/>
    <w:rsid w:val="007B79EC"/>
    <w:rsid w:val="007C0E14"/>
    <w:rsid w:val="007C32CC"/>
    <w:rsid w:val="007C7DE4"/>
    <w:rsid w:val="007D40CB"/>
    <w:rsid w:val="007D5796"/>
    <w:rsid w:val="007D59C0"/>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E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855"/>
    <w:rsid w:val="00B45B34"/>
    <w:rsid w:val="00B55F33"/>
    <w:rsid w:val="00B57047"/>
    <w:rsid w:val="00B61D86"/>
    <w:rsid w:val="00B6342D"/>
    <w:rsid w:val="00B63C77"/>
    <w:rsid w:val="00B65FC8"/>
    <w:rsid w:val="00B726BD"/>
    <w:rsid w:val="00B728E5"/>
    <w:rsid w:val="00B732BC"/>
    <w:rsid w:val="00B90E33"/>
    <w:rsid w:val="00B9676B"/>
    <w:rsid w:val="00BA2EA5"/>
    <w:rsid w:val="00BA364B"/>
    <w:rsid w:val="00BA7A04"/>
    <w:rsid w:val="00BB1190"/>
    <w:rsid w:val="00BB31D0"/>
    <w:rsid w:val="00BB3A11"/>
    <w:rsid w:val="00BB3DC6"/>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0DC"/>
    <w:rsid w:val="00CB6246"/>
    <w:rsid w:val="00CC0A17"/>
    <w:rsid w:val="00CD0F93"/>
    <w:rsid w:val="00CD1BD1"/>
    <w:rsid w:val="00CD528D"/>
    <w:rsid w:val="00CD78A5"/>
    <w:rsid w:val="00CE78BF"/>
    <w:rsid w:val="00CF65EB"/>
    <w:rsid w:val="00CF72AD"/>
    <w:rsid w:val="00D02441"/>
    <w:rsid w:val="00D039F4"/>
    <w:rsid w:val="00D10496"/>
    <w:rsid w:val="00D11173"/>
    <w:rsid w:val="00D1215F"/>
    <w:rsid w:val="00D16561"/>
    <w:rsid w:val="00D17FF8"/>
    <w:rsid w:val="00D268AC"/>
    <w:rsid w:val="00D27FF3"/>
    <w:rsid w:val="00D343D0"/>
    <w:rsid w:val="00D349A8"/>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00"/>
    <w:rsid w:val="00FC0D0A"/>
    <w:rsid w:val="00FC1B0B"/>
    <w:rsid w:val="00FC30C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6B919"/>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433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5402</Words>
  <Characters>30764</Characters>
  <Application>Microsoft Office Word</Application>
  <DocSecurity>0</DocSecurity>
  <Lines>587</Lines>
  <Paragraphs>76</Paragraphs>
  <ScaleCrop>false</ScaleCrop>
  <HeadingPairs>
    <vt:vector size="2" baseType="variant">
      <vt:variant>
        <vt:lpstr>Title</vt:lpstr>
      </vt:variant>
      <vt:variant>
        <vt:i4>1</vt:i4>
      </vt:variant>
    </vt:vector>
  </HeadingPairs>
  <TitlesOfParts>
    <vt:vector size="1" baseType="lpstr">
      <vt:lpstr>S2875 1R</vt:lpstr>
    </vt:vector>
  </TitlesOfParts>
  <Manager>R229</Manager>
  <Company>NJ Office of Legislative Services</Company>
  <LinksUpToDate>false</LinksUpToDate>
  <CharactersWithSpaces>36215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S2875 1R</dc:title>
  <dc:subject>20-8475</dc:subject>
  <dc:creator>Senator  SINGLETON</dc:creator>
  <cp:keywords>S2875|13|HS |259|219|122|!||</cp:keywords>
  <dc:description>INTRODUCED SEPTEMBER 14, 2020_x000d_
AMENDED 12/14/20</dc:description>
  <cp:lastModifiedBy>Franks, Denise</cp:lastModifiedBy>
  <cp:revision>2</cp:revision>
  <cp:lastPrinted>2020-12-18T20:42:00Z</cp:lastPrinted>
  <dcterms:created xsi:type="dcterms:W3CDTF">2020-12-18T20:43:00Z</dcterms:created>
  <dcterms:modified xsi:type="dcterms:W3CDTF">2020-12-18T20:43:00Z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