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B33" w:rsidRDefault="0057214C" w:rsidP="00C70B33">
      <w:pPr>
        <w:pStyle w:val="bpuReprint"/>
      </w:pPr>
      <w:r>
        <w:t>[Second Reprint]</w:t>
      </w:r>
    </w:p>
    <w:p w:rsidR="002C70EB" w:rsidRDefault="002C70EB" w:rsidP="002C70EB">
      <w:pPr>
        <w:pStyle w:val="bpuBill"/>
      </w:pPr>
      <w:r>
        <w:t xml:space="preserve">SENATE, No. 3000 </w:t>
      </w:r>
    </w:p>
    <w:p w:rsidR="002C70EB" w:rsidRPr="009D38FF" w:rsidRDefault="002C70EB" w:rsidP="002C70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8522970" r:id="rId9"/>
        </w:object>
      </w:r>
    </w:p>
    <w:p w:rsidR="002C70EB" w:rsidRDefault="002C70EB" w:rsidP="002C70EB">
      <w:pPr>
        <w:pStyle w:val="bpuState"/>
      </w:pPr>
      <w:r>
        <w:t>STATE OF NEW JERSEY</w:t>
      </w:r>
    </w:p>
    <w:p w:rsidR="002C70EB" w:rsidRDefault="002C70EB" w:rsidP="002C70EB">
      <w:pPr>
        <w:pStyle w:val="bpuLegislature"/>
      </w:pPr>
      <w:r>
        <w:t>219th LEGISLATURE</w:t>
      </w:r>
    </w:p>
    <w:p w:rsidR="002C70EB" w:rsidRDefault="002C70EB" w:rsidP="002C70EB">
      <w:pPr>
        <w:pStyle w:val="bpuWpGraphic"/>
      </w:pPr>
      <w:r>
        <w:object w:dxaOrig="8985" w:dyaOrig="255">
          <v:shape id="_x0000_i1026" type="#_x0000_t75" style="width:6in;height:12pt" o:ole="">
            <v:imagedata r:id="rId8" o:title=""/>
          </v:shape>
          <o:OLEObject Type="Embed" ProgID="WPWin6.1" ShapeID="_x0000_i1026" DrawAspect="Content" ObjectID="_1678522971" r:id="rId10"/>
        </w:object>
      </w:r>
      <w:r>
        <w:t xml:space="preserve">  </w:t>
      </w:r>
    </w:p>
    <w:p w:rsidR="002C70EB" w:rsidRDefault="002C70EB" w:rsidP="002C70EB">
      <w:pPr>
        <w:pStyle w:val="bpuIntro"/>
      </w:pPr>
      <w:r>
        <w:t>INTRODUCED OCTOBER 8, 2020</w:t>
      </w:r>
    </w:p>
    <w:p w:rsidR="002C70EB" w:rsidRDefault="002C70EB" w:rsidP="002C70EB">
      <w:pPr>
        <w:pStyle w:val="bpuIntro"/>
      </w:pPr>
    </w:p>
    <w:p w:rsidR="002C70EB" w:rsidRDefault="002C70EB" w:rsidP="002C70EB">
      <w:pPr>
        <w:pStyle w:val="bpuIntro"/>
        <w:sectPr w:rsidR="002C70EB" w:rsidSect="00B542EF">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2C70EB" w:rsidRDefault="002C70EB" w:rsidP="002C70EB">
      <w:pPr>
        <w:pStyle w:val="bpuIntro"/>
      </w:pPr>
    </w:p>
    <w:p w:rsidR="002C70EB" w:rsidRDefault="002C70EB" w:rsidP="002C70EB">
      <w:pPr>
        <w:pStyle w:val="bpuSponsor"/>
      </w:pPr>
      <w:r>
        <w:t>Sponsored by:</w:t>
      </w:r>
    </w:p>
    <w:p w:rsidR="002C70EB" w:rsidRDefault="002C70EB" w:rsidP="002C70EB">
      <w:pPr>
        <w:pStyle w:val="bpuSponsor"/>
      </w:pPr>
      <w:r>
        <w:t>Senator  LORETTA WEINBERG</w:t>
      </w:r>
    </w:p>
    <w:p w:rsidR="002C70EB" w:rsidRDefault="002C70EB" w:rsidP="002C70EB">
      <w:pPr>
        <w:pStyle w:val="bpuSponsor"/>
      </w:pPr>
      <w:r>
        <w:t>District 37 (Bergen)</w:t>
      </w:r>
    </w:p>
    <w:p w:rsidR="002C70EB" w:rsidRDefault="00B542EF" w:rsidP="00B542EF">
      <w:pPr>
        <w:pStyle w:val="bpuSponsor"/>
      </w:pPr>
      <w:r>
        <w:t>Senator  LINDA R. GREENSTEIN</w:t>
      </w:r>
    </w:p>
    <w:p w:rsidR="00B542EF" w:rsidRDefault="00B542EF" w:rsidP="00B542EF">
      <w:pPr>
        <w:pStyle w:val="bpuSponsor"/>
      </w:pPr>
      <w:r>
        <w:t>District 14 (Mercer and Middlesex)</w:t>
      </w:r>
    </w:p>
    <w:p w:rsidR="00B542EF" w:rsidRPr="00B542EF" w:rsidRDefault="00B542EF" w:rsidP="00B542EF">
      <w:pPr>
        <w:pStyle w:val="bpuSponsor"/>
      </w:pPr>
    </w:p>
    <w:p w:rsidR="002C70EB" w:rsidRDefault="002C70EB" w:rsidP="002C70EB">
      <w:pPr>
        <w:pStyle w:val="bpuSponsor"/>
      </w:pPr>
    </w:p>
    <w:p w:rsidR="002C70EB" w:rsidRDefault="002C70EB" w:rsidP="002C70EB">
      <w:pPr>
        <w:pStyle w:val="bpuSponsor"/>
      </w:pPr>
    </w:p>
    <w:p w:rsidR="002C70EB" w:rsidRDefault="002C70EB" w:rsidP="002C70EB">
      <w:pPr>
        <w:pStyle w:val="bpuSponsor"/>
      </w:pPr>
    </w:p>
    <w:p w:rsidR="002C70EB" w:rsidRDefault="002C70EB" w:rsidP="002C70EB">
      <w:pPr>
        <w:pStyle w:val="bpuSponsor"/>
      </w:pPr>
      <w:r>
        <w:t>SYNOPSIS</w:t>
      </w:r>
    </w:p>
    <w:p w:rsidR="002C70EB" w:rsidRDefault="002C70EB" w:rsidP="002C70EB">
      <w:pPr>
        <w:pStyle w:val="bpuNormText"/>
      </w:pPr>
      <w:r>
        <w:tab/>
        <w:t xml:space="preserve">Codifies and establishes certain network adequacy standards for pediatric primary and specialty care in Medicaid program. </w:t>
      </w:r>
    </w:p>
    <w:p w:rsidR="002C70EB" w:rsidRDefault="002C70EB" w:rsidP="002C70EB">
      <w:pPr>
        <w:pStyle w:val="bpuNormText"/>
      </w:pPr>
    </w:p>
    <w:p w:rsidR="002C70EB" w:rsidRDefault="002C70EB" w:rsidP="002C70EB">
      <w:pPr>
        <w:pStyle w:val="bpuSponsor"/>
      </w:pPr>
      <w:r>
        <w:t xml:space="preserve">CURRENT VERSION OF TEXT </w:t>
      </w:r>
    </w:p>
    <w:p w:rsidR="002C70EB" w:rsidRDefault="0057214C" w:rsidP="002C70EB">
      <w:pPr>
        <w:pStyle w:val="bpuNormText"/>
      </w:pPr>
      <w:r>
        <w:tab/>
        <w:t>As reported by the Senate Budget and Appropriations Committee on March 22, 2021, with amendments.</w:t>
      </w:r>
    </w:p>
    <w:p w:rsidR="002C70EB" w:rsidRDefault="002C70EB" w:rsidP="002C70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70EB" w:rsidRDefault="002C70EB" w:rsidP="008916EC">
      <w:pPr>
        <w:pStyle w:val="FronterPage"/>
        <w:tabs>
          <w:tab w:val="clear" w:pos="720"/>
          <w:tab w:val="clear" w:pos="1440"/>
          <w:tab w:val="clear" w:pos="2160"/>
          <w:tab w:val="clear" w:pos="2880"/>
          <w:tab w:val="clear" w:pos="3600"/>
          <w:tab w:val="clear" w:pos="4320"/>
          <w:tab w:val="clear" w:pos="5040"/>
        </w:tabs>
        <w:sectPr w:rsidR="002C70EB" w:rsidSect="002C70EB">
          <w:type w:val="continuous"/>
          <w:pgSz w:w="12240" w:h="20160" w:code="5"/>
          <w:pgMar w:top="1440" w:right="2275" w:bottom="1440" w:left="2275" w:header="72" w:footer="720" w:gutter="0"/>
          <w:pgNumType w:start="1"/>
          <w:cols w:space="720"/>
          <w:docGrid w:linePitch="360"/>
        </w:sectPr>
      </w:pPr>
    </w:p>
    <w:p w:rsidR="00686AEB" w:rsidRPr="00677316" w:rsidRDefault="005F274B" w:rsidP="003E47BA">
      <w:pPr>
        <w:pStyle w:val="HangingAnAct"/>
        <w:rPr>
          <w:rStyle w:val="HangingAnActChar"/>
        </w:rPr>
      </w:pPr>
      <w:r>
        <w:rPr>
          <w:rStyle w:val="BillHead"/>
        </w:rPr>
        <w:lastRenderedPageBreak/>
        <w:t>An Act</w:t>
      </w:r>
      <w:r w:rsidR="00DF15CF" w:rsidRPr="00DF15CF">
        <w:t xml:space="preserve"> </w:t>
      </w:r>
      <w:r w:rsidR="00AE40DD">
        <w:t xml:space="preserve">concerning network adequacy </w:t>
      </w:r>
      <w:r w:rsidR="00A84BBB">
        <w:t>of</w:t>
      </w:r>
      <w:r w:rsidR="00AE40DD">
        <w:t xml:space="preserve"> pediatric providers in the Medicaid program and supplementing</w:t>
      </w:r>
      <w:r w:rsidR="00AE40DD" w:rsidRPr="002778B6">
        <w:rPr>
          <w:color w:val="000000"/>
        </w:rPr>
        <w:t xml:space="preserve"> P.L.1997, c.192 (C.26:2S-1 et al.).</w:t>
      </w:r>
    </w:p>
    <w:p w:rsidR="000B1054" w:rsidRPr="00D71D68" w:rsidRDefault="000B1054" w:rsidP="000B1054"/>
    <w:p w:rsidR="00686AEB" w:rsidRDefault="00686AEB" w:rsidP="00686AEB">
      <w:pPr>
        <w:rPr>
          <w:rStyle w:val="BillLanguage"/>
        </w:rPr>
      </w:pPr>
      <w:r>
        <w:tab/>
      </w:r>
      <w:r w:rsidR="005F274B">
        <w:rPr>
          <w:rStyle w:val="BillHeading2"/>
        </w:rPr>
        <w:t>Be It Enacted</w:t>
      </w:r>
      <w:r>
        <w:rPr>
          <w:rStyle w:val="BillHeading2"/>
        </w:rPr>
        <w:t xml:space="preserve"> </w:t>
      </w:r>
      <w:r w:rsidR="005F274B">
        <w:rPr>
          <w:rStyle w:val="BillLanguage"/>
        </w:rPr>
        <w:t>by the Senate and General Assembly of the State of New Jersey:</w:t>
      </w:r>
    </w:p>
    <w:p w:rsidR="001027CA" w:rsidRPr="00AA7880" w:rsidRDefault="001027CA" w:rsidP="00686AEB"/>
    <w:p w:rsidR="00651000" w:rsidRPr="006C793F" w:rsidRDefault="00651000" w:rsidP="00651000">
      <w:r>
        <w:tab/>
      </w:r>
      <w:r w:rsidRPr="006C793F">
        <w:t>1.</w:t>
      </w:r>
      <w:r w:rsidRPr="006C793F">
        <w:tab/>
        <w:t>a.  Pursuant to section 19 of P.L.1997, c.192 (C.26:2S-18), the commissioner shall only approve the network adequacy of a managed care plan provided by a managed care organization contracted with the Division of Medical Assistance and Health Services in the Department of Human Services to provide benefits under Medicaid if the plan has:</w:t>
      </w:r>
    </w:p>
    <w:p w:rsidR="00651000" w:rsidRPr="006C793F" w:rsidRDefault="00651000" w:rsidP="00651000">
      <w:r w:rsidRPr="006C793F">
        <w:tab/>
        <w:t>(1)</w:t>
      </w:r>
      <w:r w:rsidRPr="006C793F">
        <w:tab/>
        <w:t>a sufficient number of pediatric primary care physicians (PCPs) to assure that:</w:t>
      </w:r>
    </w:p>
    <w:p w:rsidR="00651000" w:rsidRPr="006C793F" w:rsidRDefault="00651000" w:rsidP="00651000">
      <w:r w:rsidRPr="006C793F">
        <w:tab/>
        <w:t>(a)</w:t>
      </w:r>
      <w:r w:rsidRPr="006C793F">
        <w:tab/>
        <w:t xml:space="preserve">at least two physicians eligible as PCPs are within five miles or 10 minutes driving time or public transit time, whichever is less, of 90 percent of the managed care plan’s pediatric enrollees who live in urban counties; </w:t>
      </w:r>
    </w:p>
    <w:p w:rsidR="00651000" w:rsidRDefault="00651000" w:rsidP="00651000">
      <w:r w:rsidRPr="006C793F">
        <w:tab/>
        <w:t>(b)</w:t>
      </w:r>
      <w:r w:rsidRPr="006C793F">
        <w:tab/>
        <w:t>at least two physicians eligible as PCPs are within 10 miles or 15 minutes driving time or public transit time, whichever is less, of 90 percent of the managed care plan’s pediatric enrollees who live in non-urban counties; an</w:t>
      </w:r>
      <w:r>
        <w:t>d</w:t>
      </w:r>
    </w:p>
    <w:p w:rsidR="00651000" w:rsidRPr="006C793F" w:rsidRDefault="00651000" w:rsidP="00651000">
      <w:r>
        <w:tab/>
      </w:r>
      <w:r w:rsidRPr="006C793F">
        <w:t>(c)</w:t>
      </w:r>
      <w:r w:rsidRPr="006C793F">
        <w:tab/>
        <w:t xml:space="preserve">100 percent of all pediatric enrollees live no more than 30 minutes from at least one physician eligible as a PCP; </w:t>
      </w:r>
    </w:p>
    <w:p w:rsidR="00651000" w:rsidRPr="006C793F" w:rsidRDefault="00651000" w:rsidP="00651000">
      <w:r w:rsidRPr="006C793F">
        <w:tab/>
        <w:t>(2)</w:t>
      </w:r>
      <w:r w:rsidRPr="006C793F">
        <w:tab/>
        <w:t>a sufficient number of pediatric medical specialists to assure:</w:t>
      </w:r>
    </w:p>
    <w:p w:rsidR="00651000" w:rsidRPr="006C793F" w:rsidRDefault="00651000" w:rsidP="00651000">
      <w:r w:rsidRPr="006C793F">
        <w:tab/>
        <w:t>(a)</w:t>
      </w:r>
      <w:r w:rsidRPr="006C793F">
        <w:tab/>
        <w:t>access within 15 miles or 30 minutes driving time or public transit time, whichever is less, of 90 percent of the managed care plan’s pediatric enrollees who live in urban counties; and</w:t>
      </w:r>
    </w:p>
    <w:p w:rsidR="00651000" w:rsidRPr="006C793F" w:rsidRDefault="00651000" w:rsidP="00651000">
      <w:r w:rsidRPr="006C793F">
        <w:tab/>
        <w:t>(b)</w:t>
      </w:r>
      <w:r w:rsidRPr="006C793F">
        <w:tab/>
        <w:t>access within 40 miles or 60 minutes driving time or public transit time, whichever is less, of 90 percent of the managed care plan’s pediatric enrollees who live in non-urban counties;</w:t>
      </w:r>
    </w:p>
    <w:p w:rsidR="00651000" w:rsidRPr="006C793F" w:rsidRDefault="00651000" w:rsidP="00651000">
      <w:r w:rsidRPr="006C793F">
        <w:tab/>
        <w:t>(3)</w:t>
      </w:r>
      <w:r w:rsidRPr="006C793F">
        <w:tab/>
        <w:t>a sufficient number of pediatric oncologists and developmental and behavioral pediatricians to assure:</w:t>
      </w:r>
    </w:p>
    <w:p w:rsidR="00651000" w:rsidRPr="006C793F" w:rsidRDefault="00651000" w:rsidP="00651000">
      <w:r w:rsidRPr="006C793F">
        <w:tab/>
        <w:t>(a)</w:t>
      </w:r>
      <w:r w:rsidRPr="006C793F">
        <w:tab/>
        <w:t>access within 10 miles or 20 minutes driving time or public transit time, whichever is less, of 90 percent of the managed care plan’s pediatric enrollees who live in urban counties; and</w:t>
      </w:r>
    </w:p>
    <w:p w:rsidR="00651000" w:rsidRPr="006C793F" w:rsidRDefault="00651000" w:rsidP="00651000">
      <w:r w:rsidRPr="006C793F">
        <w:tab/>
        <w:t>(b)</w:t>
      </w:r>
      <w:r w:rsidRPr="006C793F">
        <w:tab/>
        <w:t>access within 30 miles or 45 minutes driving time or public transit time, whichever is less, of 90 percent of the managed care plan’s pediatric enrollees who live in non-urban counties; and</w:t>
      </w:r>
    </w:p>
    <w:p w:rsidR="00651000" w:rsidRPr="006C793F" w:rsidRDefault="00651000" w:rsidP="00651000">
      <w:r w:rsidRPr="006C793F">
        <w:tab/>
        <w:t>(4)</w:t>
      </w:r>
      <w:r w:rsidRPr="006C793F">
        <w:tab/>
        <w:t xml:space="preserve">the following types of pediatric medical specialties represented within the plan’s network: adolescent medicine; allergy and immunology; cardiology; developmental and behavioral pediatrics; </w:t>
      </w:r>
      <w:r>
        <w:rPr>
          <w:rFonts w:ascii="Albertus Extra Bold" w:hAnsi="Albertus Extra Bold"/>
          <w:b/>
          <w:vertAlign w:val="superscript"/>
        </w:rPr>
        <w:t>2</w:t>
      </w:r>
      <w:r>
        <w:rPr>
          <w:u w:val="single"/>
        </w:rPr>
        <w:t>psychiatry,</w:t>
      </w:r>
      <w:r w:rsidRPr="00405F95">
        <w:rPr>
          <w:rFonts w:ascii="Albertus Extra Bold" w:hAnsi="Albertus Extra Bold"/>
          <w:b/>
          <w:vertAlign w:val="superscript"/>
        </w:rPr>
        <w:t>2</w:t>
      </w:r>
      <w:r>
        <w:t xml:space="preserve"> </w:t>
      </w:r>
      <w:r w:rsidRPr="006C793F">
        <w:t xml:space="preserve">emergency medicine; endocrinology and </w:t>
      </w:r>
      <w:r w:rsidR="00DD0E56">
        <w:br w:type="page"/>
      </w:r>
      <w:r w:rsidRPr="006C793F">
        <w:lastRenderedPageBreak/>
        <w:t xml:space="preserve">diabetes; gastroenterology and nutrition; general pediatrics; general pediatrics – dermatology; hematology; human genetics and metabolism; infectious disease; neonatology; nephrology; neurology; oncology; ophthalmology; </w:t>
      </w:r>
      <w:r>
        <w:rPr>
          <w:rFonts w:ascii="Albertus Extra Bold" w:hAnsi="Albertus Extra Bold"/>
          <w:b/>
          <w:vertAlign w:val="superscript"/>
        </w:rPr>
        <w:t>1</w:t>
      </w:r>
      <w:r w:rsidRPr="000D4C47">
        <w:rPr>
          <w:rFonts w:ascii="Albertus Extra Bold" w:hAnsi="Albertus Extra Bold"/>
          <w:b/>
        </w:rPr>
        <w:t>[</w:t>
      </w:r>
      <w:r w:rsidRPr="006C793F">
        <w:t>orthopaedics</w:t>
      </w:r>
      <w:r w:rsidRPr="000D4C47">
        <w:rPr>
          <w:rFonts w:ascii="Albertus Extra Bold" w:hAnsi="Albertus Extra Bold"/>
          <w:b/>
        </w:rPr>
        <w:t>]</w:t>
      </w:r>
      <w:r>
        <w:t xml:space="preserve"> </w:t>
      </w:r>
      <w:r w:rsidRPr="000D4C47">
        <w:rPr>
          <w:u w:val="single"/>
        </w:rPr>
        <w:t>orthopedics</w:t>
      </w:r>
      <w:r>
        <w:rPr>
          <w:rFonts w:ascii="Albertus Extra Bold" w:hAnsi="Albertus Extra Bold"/>
          <w:b/>
          <w:vertAlign w:val="superscript"/>
        </w:rPr>
        <w:t>1</w:t>
      </w:r>
      <w:r w:rsidRPr="006C793F">
        <w:t>; otolaryngology; plastic surgery; pulmonary medicine, including sleep medicine; radiology; reh</w:t>
      </w:r>
      <w:bookmarkStart w:id="0" w:name="_GoBack"/>
      <w:bookmarkEnd w:id="0"/>
      <w:r w:rsidRPr="006C793F">
        <w:t>abilitative medicine; and rheumatology.</w:t>
      </w:r>
    </w:p>
    <w:p w:rsidR="00651000" w:rsidRPr="006C793F" w:rsidRDefault="00651000" w:rsidP="00651000">
      <w:r w:rsidRPr="006C793F">
        <w:tab/>
        <w:t>b.</w:t>
      </w:r>
      <w:r w:rsidRPr="006C793F">
        <w:tab/>
        <w:t xml:space="preserve">A managed care organization that violates any provision of this act shall be liable for penalties described under section 16 of </w:t>
      </w:r>
      <w:r>
        <w:rPr>
          <w:rFonts w:ascii="Albertus Extra Bold" w:hAnsi="Albertus Extra Bold"/>
          <w:b/>
          <w:vertAlign w:val="superscript"/>
        </w:rPr>
        <w:t>1</w:t>
      </w:r>
      <w:r w:rsidRPr="006C793F">
        <w:rPr>
          <w:rFonts w:ascii="Albertus Extra Bold" w:hAnsi="Albertus Extra Bold"/>
          <w:b/>
        </w:rPr>
        <w:t>[</w:t>
      </w:r>
      <w:r w:rsidRPr="006C793F">
        <w:t>P.L.2018, c. 32</w:t>
      </w:r>
      <w:r w:rsidRPr="006C793F">
        <w:rPr>
          <w:rFonts w:ascii="Albertus Extra Bold" w:hAnsi="Albertus Extra Bold"/>
          <w:b/>
        </w:rPr>
        <w:t>]</w:t>
      </w:r>
      <w:r>
        <w:t xml:space="preserve"> </w:t>
      </w:r>
      <w:r>
        <w:rPr>
          <w:u w:val="single"/>
        </w:rPr>
        <w:t>P.L.1997, c.192</w:t>
      </w:r>
      <w:r>
        <w:rPr>
          <w:rFonts w:ascii="Albertus Extra Bold" w:hAnsi="Albertus Extra Bold"/>
          <w:b/>
          <w:vertAlign w:val="superscript"/>
        </w:rPr>
        <w:t>1</w:t>
      </w:r>
      <w:r w:rsidRPr="006C793F">
        <w:t xml:space="preserve"> (C.26:2S-16).</w:t>
      </w:r>
    </w:p>
    <w:p w:rsidR="00651000" w:rsidRPr="006C793F" w:rsidRDefault="00651000" w:rsidP="00651000">
      <w:r w:rsidRPr="006C793F">
        <w:tab/>
        <w:t>c.</w:t>
      </w:r>
      <w:r w:rsidRPr="006C793F">
        <w:tab/>
        <w:t>For the purposes of this section:</w:t>
      </w:r>
    </w:p>
    <w:p w:rsidR="00651000" w:rsidRPr="006C793F" w:rsidRDefault="00651000" w:rsidP="00651000">
      <w:r w:rsidRPr="006C793F">
        <w:tab/>
        <w:t>"Medicaid" means the program established pursuant to P.L.1968, c.413 (C.30:4D-1 et seq.).</w:t>
      </w:r>
    </w:p>
    <w:p w:rsidR="00651000" w:rsidRPr="006C793F" w:rsidRDefault="00651000" w:rsidP="00651000">
      <w:r w:rsidRPr="006C793F">
        <w:rPr>
          <w:color w:val="000000"/>
        </w:rPr>
        <w:tab/>
        <w:t>"Network adequacy" means the adequacy</w:t>
      </w:r>
      <w:r>
        <w:rPr>
          <w:color w:val="000000"/>
        </w:rPr>
        <w:t xml:space="preserve"> </w:t>
      </w:r>
      <w:r>
        <w:rPr>
          <w:rFonts w:ascii="Albertus Extra Bold" w:hAnsi="Albertus Extra Bold"/>
          <w:b/>
          <w:color w:val="000000"/>
          <w:vertAlign w:val="superscript"/>
        </w:rPr>
        <w:t>1</w:t>
      </w:r>
      <w:r>
        <w:rPr>
          <w:u w:val="single"/>
        </w:rPr>
        <w:t>of</w:t>
      </w:r>
      <w:r>
        <w:rPr>
          <w:rFonts w:ascii="Albertus Extra Bold" w:hAnsi="Albertus Extra Bold"/>
          <w:b/>
          <w:vertAlign w:val="superscript"/>
        </w:rPr>
        <w:t>1</w:t>
      </w:r>
      <w:r w:rsidRPr="006C793F">
        <w:rPr>
          <w:color w:val="000000"/>
        </w:rPr>
        <w:t xml:space="preserve"> the provider network with respect to the scope and type of health care </w:t>
      </w:r>
      <w:r w:rsidRPr="006C793F">
        <w:t>benefits provided by the managed care plan</w:t>
      </w:r>
      <w:r w:rsidRPr="006C793F">
        <w:rPr>
          <w:color w:val="000000"/>
        </w:rPr>
        <w:t>, the geographic service area covered by the provider network, and access to medical specialists pursuant to the standards in the regulations promulgated pursuant to section 19 of P.L.1997, c.192 (C.26:2S-18)</w:t>
      </w:r>
      <w:r w:rsidRPr="006C793F">
        <w:t xml:space="preserve"> and in the existing contract between a managed care organization and the Division of Medical Assistance and Health Services in the Department of Human Services</w:t>
      </w:r>
      <w:r w:rsidRPr="006C793F">
        <w:rPr>
          <w:color w:val="000000"/>
        </w:rPr>
        <w:t>.</w:t>
      </w:r>
    </w:p>
    <w:p w:rsidR="00651000" w:rsidRPr="006C793F" w:rsidRDefault="00651000" w:rsidP="00651000">
      <w:r>
        <w:tab/>
      </w:r>
      <w:r w:rsidRPr="006C793F">
        <w:t xml:space="preserve">“Non-urban county” shall mean: </w:t>
      </w:r>
      <w:r>
        <w:rPr>
          <w:rFonts w:ascii="Albertus Extra Bold" w:hAnsi="Albertus Extra Bold"/>
          <w:b/>
          <w:vertAlign w:val="superscript"/>
        </w:rPr>
        <w:t>1</w:t>
      </w:r>
      <w:r w:rsidRPr="006C793F">
        <w:rPr>
          <w:rFonts w:ascii="Albertus Extra Bold" w:hAnsi="Albertus Extra Bold"/>
          <w:b/>
        </w:rPr>
        <w:t>[</w:t>
      </w:r>
      <w:r w:rsidRPr="006C793F">
        <w:t>Hunterdon, Morris, Somerset, Sussex, Warren,</w:t>
      </w:r>
      <w:r w:rsidRPr="006C793F">
        <w:rPr>
          <w:rFonts w:ascii="Albertus Extra Bold" w:hAnsi="Albertus Extra Bold"/>
          <w:b/>
        </w:rPr>
        <w:t>]</w:t>
      </w:r>
      <w:r>
        <w:rPr>
          <w:rFonts w:ascii="Albertus Extra Bold" w:hAnsi="Albertus Extra Bold"/>
          <w:b/>
          <w:vertAlign w:val="superscript"/>
        </w:rPr>
        <w:t>1</w:t>
      </w:r>
      <w:r w:rsidRPr="006C793F">
        <w:t xml:space="preserve"> Atlantic, Cape May, Cumberland, Gloucester, </w:t>
      </w:r>
      <w:r>
        <w:rPr>
          <w:rFonts w:ascii="Albertus Extra Bold" w:hAnsi="Albertus Extra Bold"/>
          <w:b/>
          <w:vertAlign w:val="superscript"/>
        </w:rPr>
        <w:t>1</w:t>
      </w:r>
      <w:r w:rsidRPr="006C793F">
        <w:rPr>
          <w:rFonts w:ascii="Albertus Extra Bold" w:hAnsi="Albertus Extra Bold"/>
          <w:b/>
        </w:rPr>
        <w:t>[</w:t>
      </w:r>
      <w:r w:rsidRPr="006C793F">
        <w:t>and</w:t>
      </w:r>
      <w:r w:rsidRPr="006C793F">
        <w:rPr>
          <w:rFonts w:ascii="Albertus Extra Bold" w:hAnsi="Albertus Extra Bold"/>
          <w:b/>
        </w:rPr>
        <w:t>]</w:t>
      </w:r>
      <w:r>
        <w:t xml:space="preserve"> </w:t>
      </w:r>
      <w:r>
        <w:rPr>
          <w:u w:val="single"/>
        </w:rPr>
        <w:t>Hunterdon, Morris,</w:t>
      </w:r>
      <w:r>
        <w:rPr>
          <w:rFonts w:ascii="Albertus Extra Bold" w:hAnsi="Albertus Extra Bold"/>
          <w:b/>
          <w:vertAlign w:val="superscript"/>
        </w:rPr>
        <w:t>1</w:t>
      </w:r>
      <w:r>
        <w:t xml:space="preserve"> </w:t>
      </w:r>
      <w:r w:rsidRPr="006C793F">
        <w:t>Salem</w:t>
      </w:r>
      <w:r>
        <w:t xml:space="preserve"> </w:t>
      </w:r>
      <w:r>
        <w:rPr>
          <w:rFonts w:ascii="Albertus Extra Bold" w:hAnsi="Albertus Extra Bold"/>
          <w:b/>
          <w:vertAlign w:val="superscript"/>
        </w:rPr>
        <w:t>1</w:t>
      </w:r>
      <w:r>
        <w:rPr>
          <w:u w:val="single"/>
        </w:rPr>
        <w:t>, Somerset, Sussex, and Warren</w:t>
      </w:r>
      <w:r>
        <w:rPr>
          <w:rFonts w:ascii="Albertus Extra Bold" w:hAnsi="Albertus Extra Bold"/>
          <w:b/>
          <w:vertAlign w:val="superscript"/>
        </w:rPr>
        <w:t>1</w:t>
      </w:r>
      <w:r w:rsidRPr="006C793F">
        <w:t xml:space="preserve"> counties.</w:t>
      </w:r>
    </w:p>
    <w:p w:rsidR="00651000" w:rsidRDefault="00651000" w:rsidP="00651000">
      <w:pPr>
        <w:rPr>
          <w:rFonts w:ascii="Albertus Extra Bold" w:hAnsi="Albertus Extra Bold"/>
          <w:b/>
          <w:vertAlign w:val="superscript"/>
        </w:rPr>
      </w:pPr>
      <w:r w:rsidRPr="006C793F">
        <w:tab/>
        <w:t xml:space="preserve">“Urban county” shall mean: Bergen, </w:t>
      </w:r>
      <w:r>
        <w:rPr>
          <w:rFonts w:ascii="Albertus Extra Bold" w:hAnsi="Albertus Extra Bold"/>
          <w:b/>
          <w:vertAlign w:val="superscript"/>
        </w:rPr>
        <w:t>1</w:t>
      </w:r>
      <w:r w:rsidRPr="006C793F">
        <w:rPr>
          <w:rFonts w:ascii="Albertus Extra Bold" w:hAnsi="Albertus Extra Bold"/>
          <w:b/>
        </w:rPr>
        <w:t>[</w:t>
      </w:r>
      <w:r w:rsidRPr="006C793F">
        <w:t>Hudson, and Passaic, Essex, Union, Middlesex, Mercer,</w:t>
      </w:r>
      <w:r w:rsidRPr="006C793F">
        <w:rPr>
          <w:rFonts w:ascii="Albertus Extra Bold" w:hAnsi="Albertus Extra Bold"/>
          <w:b/>
        </w:rPr>
        <w:t>]</w:t>
      </w:r>
      <w:r>
        <w:rPr>
          <w:rFonts w:ascii="Albertus Extra Bold" w:hAnsi="Albertus Extra Bold"/>
          <w:b/>
          <w:vertAlign w:val="superscript"/>
        </w:rPr>
        <w:t>1</w:t>
      </w:r>
      <w:r w:rsidRPr="006C793F">
        <w:t xml:space="preserve"> Burlington, Camden, </w:t>
      </w:r>
      <w:r>
        <w:rPr>
          <w:rFonts w:ascii="Albertus Extra Bold" w:hAnsi="Albertus Extra Bold"/>
          <w:b/>
          <w:vertAlign w:val="superscript"/>
        </w:rPr>
        <w:t>1</w:t>
      </w:r>
      <w:r w:rsidRPr="006C793F">
        <w:rPr>
          <w:rFonts w:ascii="Albertus Extra Bold" w:hAnsi="Albertus Extra Bold"/>
          <w:b/>
        </w:rPr>
        <w:t>[</w:t>
      </w:r>
      <w:r w:rsidRPr="006C793F">
        <w:t>Mo</w:t>
      </w:r>
      <w:r>
        <w:t xml:space="preserve">nmouth and </w:t>
      </w:r>
      <w:r w:rsidRPr="006C793F">
        <w:t>Ocean</w:t>
      </w:r>
      <w:r w:rsidRPr="006C793F">
        <w:rPr>
          <w:rFonts w:ascii="Albertus Extra Bold" w:hAnsi="Albertus Extra Bold"/>
          <w:b/>
        </w:rPr>
        <w:t>]</w:t>
      </w:r>
      <w:r>
        <w:t xml:space="preserve"> </w:t>
      </w:r>
      <w:r>
        <w:rPr>
          <w:u w:val="single"/>
        </w:rPr>
        <w:t xml:space="preserve">Essex, Hudson, Mercer, Middlesex, Monmouth, Ocean, Passaic, and </w:t>
      </w:r>
      <w:r w:rsidRPr="006C793F">
        <w:rPr>
          <w:u w:val="single"/>
        </w:rPr>
        <w:t>Union</w:t>
      </w:r>
      <w:r>
        <w:rPr>
          <w:rFonts w:ascii="Albertus Extra Bold" w:hAnsi="Albertus Extra Bold"/>
          <w:b/>
          <w:vertAlign w:val="superscript"/>
        </w:rPr>
        <w:t>1</w:t>
      </w:r>
      <w:r>
        <w:t xml:space="preserve"> </w:t>
      </w:r>
      <w:r w:rsidRPr="006C793F">
        <w:t>counties</w:t>
      </w:r>
      <w:r>
        <w:rPr>
          <w:rFonts w:ascii="Albertus Extra Bold" w:hAnsi="Albertus Extra Bold"/>
          <w:b/>
          <w:vertAlign w:val="superscript"/>
        </w:rPr>
        <w:t>1</w:t>
      </w:r>
      <w:r w:rsidRPr="00A27109">
        <w:rPr>
          <w:u w:val="single"/>
        </w:rPr>
        <w:t>.</w:t>
      </w:r>
      <w:r>
        <w:rPr>
          <w:rFonts w:ascii="Albertus Extra Bold" w:hAnsi="Albertus Extra Bold"/>
          <w:b/>
          <w:vertAlign w:val="superscript"/>
        </w:rPr>
        <w:t>1</w:t>
      </w:r>
    </w:p>
    <w:p w:rsidR="00F82152" w:rsidRDefault="00F82152" w:rsidP="00F82152"/>
    <w:p w:rsidR="00C70B33" w:rsidRPr="00C70B33" w:rsidRDefault="00C70B33" w:rsidP="00C70B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0B33">
        <w:rPr>
          <w:spacing w:val="0"/>
        </w:rPr>
        <w:tab/>
        <w:t>2.</w:t>
      </w:r>
      <w:r w:rsidRPr="00C70B33">
        <w:rPr>
          <w:spacing w:val="0"/>
        </w:rPr>
        <w:tab/>
      </w:r>
      <w:r w:rsidRPr="00C70B33">
        <w:rPr>
          <w:color w:val="000000"/>
          <w:spacing w:val="0"/>
        </w:rPr>
        <w:t xml:space="preserve">The </w:t>
      </w:r>
      <w:r w:rsidRPr="00C70B33">
        <w:rPr>
          <w:spacing w:val="0"/>
        </w:rPr>
        <w:t>Commissioner of Banking and Insurance, in conjunction with the Commissioner of Human Services,</w:t>
      </w:r>
      <w:r w:rsidRPr="00C70B33">
        <w:rPr>
          <w:color w:val="000000"/>
          <w:spacing w:val="0"/>
        </w:rPr>
        <w:t xml:space="preserve"> shall adopt rules and regulations pursuant to the "Administrative Procedure Act," P.L.1968, c.410 (C.52:14B-1 et seq.) </w:t>
      </w:r>
      <w:r w:rsidRPr="00C70B33">
        <w:rPr>
          <w:rFonts w:ascii="Albertus Extra Bold" w:hAnsi="Albertus Extra Bold"/>
          <w:b/>
          <w:color w:val="000000"/>
          <w:vertAlign w:val="superscript"/>
        </w:rPr>
        <w:t>1</w:t>
      </w:r>
      <w:r w:rsidRPr="00C70B33">
        <w:rPr>
          <w:spacing w:val="0"/>
          <w:u w:val="single"/>
        </w:rPr>
        <w:t>,</w:t>
      </w:r>
      <w:r w:rsidRPr="00C70B33">
        <w:rPr>
          <w:rFonts w:ascii="Albertus Extra Bold" w:hAnsi="Albertus Extra Bold"/>
          <w:b/>
          <w:vertAlign w:val="superscript"/>
        </w:rPr>
        <w:t>1</w:t>
      </w:r>
      <w:r w:rsidRPr="00C70B33">
        <w:rPr>
          <w:color w:val="000000"/>
          <w:spacing w:val="0"/>
        </w:rPr>
        <w:t xml:space="preserve"> to effectuate the purposes of this act.</w:t>
      </w:r>
    </w:p>
    <w:p w:rsidR="00F82152" w:rsidRDefault="00F82152" w:rsidP="00F82152"/>
    <w:p w:rsidR="00F82152" w:rsidRDefault="00F82152" w:rsidP="00F82152">
      <w:r>
        <w:tab/>
        <w:t>3.</w:t>
      </w:r>
      <w:r>
        <w:tab/>
        <w:t xml:space="preserve">This act shall take effect on </w:t>
      </w:r>
      <w:r>
        <w:rPr>
          <w:color w:val="000000"/>
        </w:rPr>
        <w:t>the first day of the third month following enactment, except that the Commissioner of Banking and Insurance</w:t>
      </w:r>
      <w:r w:rsidR="00A034AB">
        <w:rPr>
          <w:color w:val="000000"/>
        </w:rPr>
        <w:t>, in conjunction with the Commissioner of Human Services,</w:t>
      </w:r>
      <w:r>
        <w:t xml:space="preserve"> </w:t>
      </w:r>
      <w:r>
        <w:rPr>
          <w:color w:val="000000"/>
        </w:rPr>
        <w:t>may take such anticipatory administrative action in advance thereof as shall be necessary for the implementation of this</w:t>
      </w:r>
      <w:r w:rsidR="007F6CBD">
        <w:rPr>
          <w:color w:val="000000"/>
        </w:rPr>
        <w:t> </w:t>
      </w:r>
      <w:r>
        <w:rPr>
          <w:color w:val="000000"/>
        </w:rPr>
        <w:t>act.</w:t>
      </w:r>
    </w:p>
    <w:sectPr w:rsidR="00F82152" w:rsidSect="00C70B33">
      <w:headerReference w:type="default" r:id="rId15"/>
      <w:footerReference w:type="default" r:id="rId16"/>
      <w:headerReference w:type="first" r:id="rId17"/>
      <w:footerReference w:type="first" r:id="rId18"/>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D12" w:rsidRDefault="00873D12">
      <w:r>
        <w:separator/>
      </w:r>
    </w:p>
  </w:endnote>
  <w:endnote w:type="continuationSeparator" w:id="0">
    <w:p w:rsidR="00873D12" w:rsidRDefault="00873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2EF" w:rsidRDefault="00B542EF" w:rsidP="00B542EF">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B33" w:rsidRPr="00921C91" w:rsidRDefault="00C70B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70B33" w:rsidRPr="00921C91" w:rsidRDefault="00C70B33">
    <w:pPr>
      <w:pStyle w:val="Footer"/>
      <w:rPr>
        <w:szCs w:val="18"/>
      </w:rPr>
    </w:pPr>
  </w:p>
  <w:p w:rsidR="00C70B33" w:rsidRPr="00C70B33" w:rsidRDefault="00C70B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70B33" w:rsidRDefault="00C70B33" w:rsidP="00686AEB">
    <w:pPr>
      <w:pStyle w:val="Footer"/>
    </w:pPr>
    <w:r>
      <w:tab/>
      <w:t>Matter enclosed in superscript numerals has been adopted as follows:</w:t>
    </w:r>
  </w:p>
  <w:p w:rsidR="00C70B33" w:rsidRDefault="00C70B3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14, 2021.</w:t>
    </w:r>
  </w:p>
  <w:p w:rsidR="00C70B33" w:rsidRDefault="0057214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March 22, 2021.</w:t>
    </w:r>
  </w:p>
  <w:p w:rsidR="0057214C" w:rsidRPr="0057214C" w:rsidRDefault="0057214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D12" w:rsidRDefault="00873D12">
      <w:r>
        <w:separator/>
      </w:r>
    </w:p>
  </w:footnote>
  <w:footnote w:type="continuationSeparator" w:id="0">
    <w:p w:rsidR="00873D12" w:rsidRDefault="00873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7B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70EB" w:rsidRDefault="002C70EB" w:rsidP="002C70EB">
    <w:pPr>
      <w:pStyle w:val="bpuHeadSpon"/>
    </w:pPr>
    <w:r w:rsidRPr="002C70EB">
      <w:rPr>
        <w:rStyle w:val="bpuHeadSponChar"/>
      </w:rPr>
      <w:t>S3000</w:t>
    </w:r>
    <w:r>
      <w:t xml:space="preserve"> </w:t>
    </w:r>
    <w:r w:rsidR="0057214C">
      <w:t>[2R]</w:t>
    </w:r>
    <w:r w:rsidR="00C70B33">
      <w:t xml:space="preserve"> </w:t>
    </w:r>
    <w:r>
      <w:t>WEINBERG</w:t>
    </w:r>
    <w:r w:rsidR="00B542EF">
      <w:t>, GREENSTEIN</w:t>
    </w:r>
  </w:p>
  <w:p w:rsidR="002C70EB" w:rsidRDefault="002C70EB" w:rsidP="002C70EB">
    <w:pPr>
      <w:pStyle w:val="bpuHeadSpon"/>
    </w:pPr>
    <w:r>
      <w:fldChar w:fldCharType="begin"/>
    </w:r>
    <w:r>
      <w:instrText xml:space="preserve"> PAGE  \* MERGEFORMAT </w:instrText>
    </w:r>
    <w:r>
      <w:fldChar w:fldCharType="separate"/>
    </w:r>
    <w:r w:rsidR="00247BD2">
      <w:rPr>
        <w:noProof/>
      </w:rPr>
      <w:t>3</w:t>
    </w:r>
    <w:r>
      <w:fldChar w:fldCharType="end"/>
    </w:r>
  </w:p>
  <w:p w:rsidR="002C70EB" w:rsidRDefault="002C70EB" w:rsidP="002C70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70EB" w:rsidRDefault="002C70EB" w:rsidP="002C70EB">
    <w:pPr>
      <w:pStyle w:val="bpuHeadSpon"/>
    </w:pPr>
    <w:r w:rsidRPr="002C70EB">
      <w:rPr>
        <w:rStyle w:val="bpuHeadSponChar"/>
      </w:rPr>
      <w:t>S3000</w:t>
    </w:r>
    <w:r>
      <w:t xml:space="preserve"> </w:t>
    </w:r>
    <w:r w:rsidR="0057214C">
      <w:t>[2R]</w:t>
    </w:r>
    <w:r w:rsidR="00C70B33">
      <w:t xml:space="preserve"> </w:t>
    </w:r>
    <w:r>
      <w:t>WEINBERG</w:t>
    </w:r>
    <w:r w:rsidR="00B542EF">
      <w:t>, GREENSTEIN</w:t>
    </w:r>
  </w:p>
  <w:p w:rsidR="002C70EB" w:rsidRDefault="002C70EB" w:rsidP="002C70EB">
    <w:pPr>
      <w:pStyle w:val="bpuHeadSpon"/>
    </w:pPr>
    <w:r>
      <w:fldChar w:fldCharType="begin"/>
    </w:r>
    <w:r>
      <w:instrText xml:space="preserve"> PAGE  \* MERGEFORMAT </w:instrText>
    </w:r>
    <w:r>
      <w:fldChar w:fldCharType="separate"/>
    </w:r>
    <w:r w:rsidR="00247BD2">
      <w:rPr>
        <w:noProof/>
      </w:rPr>
      <w:t>2</w:t>
    </w:r>
    <w:r>
      <w:fldChar w:fldCharType="end"/>
    </w:r>
  </w:p>
  <w:p w:rsidR="002C70EB" w:rsidRDefault="002C70EB" w:rsidP="002C70E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56080"/>
    <w:multiLevelType w:val="hybridMultilevel"/>
    <w:tmpl w:val="4E4AF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D12"/>
    <w:rsid w:val="000051BD"/>
    <w:rsid w:val="000160A5"/>
    <w:rsid w:val="0002335B"/>
    <w:rsid w:val="0003549A"/>
    <w:rsid w:val="000367AE"/>
    <w:rsid w:val="000406DA"/>
    <w:rsid w:val="00043B22"/>
    <w:rsid w:val="00054975"/>
    <w:rsid w:val="00057D20"/>
    <w:rsid w:val="0006197C"/>
    <w:rsid w:val="0006281F"/>
    <w:rsid w:val="00063E71"/>
    <w:rsid w:val="0008141C"/>
    <w:rsid w:val="00094A55"/>
    <w:rsid w:val="000A44A7"/>
    <w:rsid w:val="000B1054"/>
    <w:rsid w:val="000B3411"/>
    <w:rsid w:val="000C054C"/>
    <w:rsid w:val="000C12C2"/>
    <w:rsid w:val="000D11AF"/>
    <w:rsid w:val="000D543C"/>
    <w:rsid w:val="000D6255"/>
    <w:rsid w:val="000D6262"/>
    <w:rsid w:val="000D7B4A"/>
    <w:rsid w:val="000E4006"/>
    <w:rsid w:val="000F3DA2"/>
    <w:rsid w:val="000F5FDE"/>
    <w:rsid w:val="000F7466"/>
    <w:rsid w:val="001027C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F58"/>
    <w:rsid w:val="001E15F1"/>
    <w:rsid w:val="001E16FA"/>
    <w:rsid w:val="001E6213"/>
    <w:rsid w:val="001F14C7"/>
    <w:rsid w:val="001F7405"/>
    <w:rsid w:val="002010E9"/>
    <w:rsid w:val="00205533"/>
    <w:rsid w:val="00212B8D"/>
    <w:rsid w:val="00214707"/>
    <w:rsid w:val="00222983"/>
    <w:rsid w:val="002370D0"/>
    <w:rsid w:val="00247BD2"/>
    <w:rsid w:val="00255958"/>
    <w:rsid w:val="00257FA2"/>
    <w:rsid w:val="00262CCE"/>
    <w:rsid w:val="0026574A"/>
    <w:rsid w:val="002660BB"/>
    <w:rsid w:val="002720E8"/>
    <w:rsid w:val="00275293"/>
    <w:rsid w:val="002776B0"/>
    <w:rsid w:val="002778B6"/>
    <w:rsid w:val="00286C7E"/>
    <w:rsid w:val="002A1029"/>
    <w:rsid w:val="002A3A1A"/>
    <w:rsid w:val="002A4692"/>
    <w:rsid w:val="002A51BA"/>
    <w:rsid w:val="002A78F5"/>
    <w:rsid w:val="002B2E26"/>
    <w:rsid w:val="002B3FE6"/>
    <w:rsid w:val="002C2D81"/>
    <w:rsid w:val="002C3339"/>
    <w:rsid w:val="002C461E"/>
    <w:rsid w:val="002C6CEC"/>
    <w:rsid w:val="002C70E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EA9"/>
    <w:rsid w:val="00354334"/>
    <w:rsid w:val="0036180C"/>
    <w:rsid w:val="00363CF5"/>
    <w:rsid w:val="00364344"/>
    <w:rsid w:val="003702CA"/>
    <w:rsid w:val="00370617"/>
    <w:rsid w:val="00382F1F"/>
    <w:rsid w:val="00391DA4"/>
    <w:rsid w:val="003A3C64"/>
    <w:rsid w:val="003A3F83"/>
    <w:rsid w:val="003A4DB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4FF"/>
    <w:rsid w:val="00442F64"/>
    <w:rsid w:val="0045118A"/>
    <w:rsid w:val="00455D51"/>
    <w:rsid w:val="00456BF9"/>
    <w:rsid w:val="00461057"/>
    <w:rsid w:val="00467ACA"/>
    <w:rsid w:val="004704A8"/>
    <w:rsid w:val="00471102"/>
    <w:rsid w:val="00471F18"/>
    <w:rsid w:val="00484144"/>
    <w:rsid w:val="00484C19"/>
    <w:rsid w:val="00485866"/>
    <w:rsid w:val="00492076"/>
    <w:rsid w:val="00492DFA"/>
    <w:rsid w:val="00493B1D"/>
    <w:rsid w:val="00497037"/>
    <w:rsid w:val="004A3009"/>
    <w:rsid w:val="004A6940"/>
    <w:rsid w:val="004A77A4"/>
    <w:rsid w:val="004C742C"/>
    <w:rsid w:val="004E1F3E"/>
    <w:rsid w:val="004E789F"/>
    <w:rsid w:val="004F21BD"/>
    <w:rsid w:val="004F4F1D"/>
    <w:rsid w:val="004F74DD"/>
    <w:rsid w:val="00501317"/>
    <w:rsid w:val="0050495C"/>
    <w:rsid w:val="00505DC9"/>
    <w:rsid w:val="00506E1E"/>
    <w:rsid w:val="00513C81"/>
    <w:rsid w:val="00527BFB"/>
    <w:rsid w:val="00532A32"/>
    <w:rsid w:val="00540B0B"/>
    <w:rsid w:val="0054460F"/>
    <w:rsid w:val="0055328D"/>
    <w:rsid w:val="005536CD"/>
    <w:rsid w:val="00554051"/>
    <w:rsid w:val="00557240"/>
    <w:rsid w:val="005651F3"/>
    <w:rsid w:val="0057214C"/>
    <w:rsid w:val="00572184"/>
    <w:rsid w:val="00577A15"/>
    <w:rsid w:val="00580533"/>
    <w:rsid w:val="005862E6"/>
    <w:rsid w:val="0059131D"/>
    <w:rsid w:val="005A7951"/>
    <w:rsid w:val="005B10C5"/>
    <w:rsid w:val="005B3F92"/>
    <w:rsid w:val="005B479C"/>
    <w:rsid w:val="005B561E"/>
    <w:rsid w:val="005C07E4"/>
    <w:rsid w:val="005C2124"/>
    <w:rsid w:val="005C336F"/>
    <w:rsid w:val="005C6E33"/>
    <w:rsid w:val="005C7F3C"/>
    <w:rsid w:val="005E017C"/>
    <w:rsid w:val="005E50C6"/>
    <w:rsid w:val="005F274B"/>
    <w:rsid w:val="005F2A97"/>
    <w:rsid w:val="005F399B"/>
    <w:rsid w:val="006019F8"/>
    <w:rsid w:val="00605B20"/>
    <w:rsid w:val="0061156F"/>
    <w:rsid w:val="00613FF5"/>
    <w:rsid w:val="006155A8"/>
    <w:rsid w:val="00621B94"/>
    <w:rsid w:val="00626239"/>
    <w:rsid w:val="00634A75"/>
    <w:rsid w:val="00635316"/>
    <w:rsid w:val="00635449"/>
    <w:rsid w:val="006378C5"/>
    <w:rsid w:val="00640B76"/>
    <w:rsid w:val="00645E6A"/>
    <w:rsid w:val="00651000"/>
    <w:rsid w:val="00665CBC"/>
    <w:rsid w:val="00667A5C"/>
    <w:rsid w:val="00677316"/>
    <w:rsid w:val="00684AA5"/>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B92"/>
    <w:rsid w:val="007255FF"/>
    <w:rsid w:val="007256D1"/>
    <w:rsid w:val="007279FD"/>
    <w:rsid w:val="007369CF"/>
    <w:rsid w:val="00742AC4"/>
    <w:rsid w:val="007502CB"/>
    <w:rsid w:val="00752D79"/>
    <w:rsid w:val="00752E20"/>
    <w:rsid w:val="00756EDE"/>
    <w:rsid w:val="00781B4D"/>
    <w:rsid w:val="007824BF"/>
    <w:rsid w:val="00783B8D"/>
    <w:rsid w:val="00794B94"/>
    <w:rsid w:val="00794BD4"/>
    <w:rsid w:val="007A2F73"/>
    <w:rsid w:val="007A3061"/>
    <w:rsid w:val="007A5A0B"/>
    <w:rsid w:val="007C0E14"/>
    <w:rsid w:val="007C3C6A"/>
    <w:rsid w:val="007C7DE4"/>
    <w:rsid w:val="007D2A46"/>
    <w:rsid w:val="007D40CB"/>
    <w:rsid w:val="007D5796"/>
    <w:rsid w:val="007D59C0"/>
    <w:rsid w:val="007D735B"/>
    <w:rsid w:val="007D7D9C"/>
    <w:rsid w:val="007F485D"/>
    <w:rsid w:val="007F6050"/>
    <w:rsid w:val="007F6CBD"/>
    <w:rsid w:val="00813627"/>
    <w:rsid w:val="00824187"/>
    <w:rsid w:val="00832816"/>
    <w:rsid w:val="00832D1F"/>
    <w:rsid w:val="00837109"/>
    <w:rsid w:val="00840365"/>
    <w:rsid w:val="008406A3"/>
    <w:rsid w:val="00841D2C"/>
    <w:rsid w:val="00845F3C"/>
    <w:rsid w:val="008461B8"/>
    <w:rsid w:val="008462F1"/>
    <w:rsid w:val="00847EF1"/>
    <w:rsid w:val="008538FA"/>
    <w:rsid w:val="008573B0"/>
    <w:rsid w:val="00866563"/>
    <w:rsid w:val="00867AC2"/>
    <w:rsid w:val="0087056E"/>
    <w:rsid w:val="00873D12"/>
    <w:rsid w:val="00875402"/>
    <w:rsid w:val="00884D51"/>
    <w:rsid w:val="008916EC"/>
    <w:rsid w:val="00891E4F"/>
    <w:rsid w:val="008A31C5"/>
    <w:rsid w:val="008A4F9A"/>
    <w:rsid w:val="008B2850"/>
    <w:rsid w:val="008C79B3"/>
    <w:rsid w:val="008D77BD"/>
    <w:rsid w:val="008E454C"/>
    <w:rsid w:val="008F1E5A"/>
    <w:rsid w:val="00901A43"/>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18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4AB"/>
    <w:rsid w:val="00A11228"/>
    <w:rsid w:val="00A222C2"/>
    <w:rsid w:val="00A305D6"/>
    <w:rsid w:val="00A342C4"/>
    <w:rsid w:val="00A41CD9"/>
    <w:rsid w:val="00A50F6B"/>
    <w:rsid w:val="00A52237"/>
    <w:rsid w:val="00A551D6"/>
    <w:rsid w:val="00A6251B"/>
    <w:rsid w:val="00A6754E"/>
    <w:rsid w:val="00A70F58"/>
    <w:rsid w:val="00A72987"/>
    <w:rsid w:val="00A7346B"/>
    <w:rsid w:val="00A81E8A"/>
    <w:rsid w:val="00A84BB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0DD"/>
    <w:rsid w:val="00AF1A8C"/>
    <w:rsid w:val="00B0116D"/>
    <w:rsid w:val="00B01173"/>
    <w:rsid w:val="00B02F35"/>
    <w:rsid w:val="00B05A3C"/>
    <w:rsid w:val="00B07100"/>
    <w:rsid w:val="00B1138C"/>
    <w:rsid w:val="00B2574A"/>
    <w:rsid w:val="00B35D8A"/>
    <w:rsid w:val="00B45B34"/>
    <w:rsid w:val="00B542E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F90"/>
    <w:rsid w:val="00BE24D6"/>
    <w:rsid w:val="00BE7EFA"/>
    <w:rsid w:val="00BF06AD"/>
    <w:rsid w:val="00BF2C67"/>
    <w:rsid w:val="00C04039"/>
    <w:rsid w:val="00C04F4D"/>
    <w:rsid w:val="00C114C2"/>
    <w:rsid w:val="00C12E48"/>
    <w:rsid w:val="00C13D14"/>
    <w:rsid w:val="00C15F53"/>
    <w:rsid w:val="00C23F09"/>
    <w:rsid w:val="00C25356"/>
    <w:rsid w:val="00C328D0"/>
    <w:rsid w:val="00C46BC1"/>
    <w:rsid w:val="00C5235F"/>
    <w:rsid w:val="00C54CE2"/>
    <w:rsid w:val="00C56249"/>
    <w:rsid w:val="00C66BF3"/>
    <w:rsid w:val="00C70140"/>
    <w:rsid w:val="00C70B33"/>
    <w:rsid w:val="00C73CA7"/>
    <w:rsid w:val="00C822F6"/>
    <w:rsid w:val="00C82AC2"/>
    <w:rsid w:val="00C8456C"/>
    <w:rsid w:val="00C854E9"/>
    <w:rsid w:val="00C86B44"/>
    <w:rsid w:val="00C91E19"/>
    <w:rsid w:val="00C92402"/>
    <w:rsid w:val="00C92867"/>
    <w:rsid w:val="00C93B93"/>
    <w:rsid w:val="00CA037D"/>
    <w:rsid w:val="00CA0837"/>
    <w:rsid w:val="00CA2442"/>
    <w:rsid w:val="00CA4725"/>
    <w:rsid w:val="00CB6246"/>
    <w:rsid w:val="00CC0A17"/>
    <w:rsid w:val="00CD0F93"/>
    <w:rsid w:val="00CD1BD1"/>
    <w:rsid w:val="00CD528D"/>
    <w:rsid w:val="00CD667A"/>
    <w:rsid w:val="00CE78BF"/>
    <w:rsid w:val="00CF65EB"/>
    <w:rsid w:val="00CF72AD"/>
    <w:rsid w:val="00D01AB0"/>
    <w:rsid w:val="00D02441"/>
    <w:rsid w:val="00D039F4"/>
    <w:rsid w:val="00D10496"/>
    <w:rsid w:val="00D11173"/>
    <w:rsid w:val="00D1215F"/>
    <w:rsid w:val="00D13D75"/>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E56"/>
    <w:rsid w:val="00DE0CEC"/>
    <w:rsid w:val="00DE10D1"/>
    <w:rsid w:val="00DE2514"/>
    <w:rsid w:val="00DE6851"/>
    <w:rsid w:val="00DF03EE"/>
    <w:rsid w:val="00DF15CF"/>
    <w:rsid w:val="00DF27EB"/>
    <w:rsid w:val="00E01B71"/>
    <w:rsid w:val="00E05CC9"/>
    <w:rsid w:val="00E15573"/>
    <w:rsid w:val="00E25A5B"/>
    <w:rsid w:val="00E373C7"/>
    <w:rsid w:val="00E4267B"/>
    <w:rsid w:val="00E42F13"/>
    <w:rsid w:val="00E452DF"/>
    <w:rsid w:val="00E543CF"/>
    <w:rsid w:val="00E546FD"/>
    <w:rsid w:val="00E608F1"/>
    <w:rsid w:val="00E60DD4"/>
    <w:rsid w:val="00E611B9"/>
    <w:rsid w:val="00E63498"/>
    <w:rsid w:val="00E64DF2"/>
    <w:rsid w:val="00E7144F"/>
    <w:rsid w:val="00E73D74"/>
    <w:rsid w:val="00E76A79"/>
    <w:rsid w:val="00E80692"/>
    <w:rsid w:val="00E80C24"/>
    <w:rsid w:val="00E93836"/>
    <w:rsid w:val="00EA25E7"/>
    <w:rsid w:val="00EA7C16"/>
    <w:rsid w:val="00EC5281"/>
    <w:rsid w:val="00EC791D"/>
    <w:rsid w:val="00EC7CA6"/>
    <w:rsid w:val="00ED3C5D"/>
    <w:rsid w:val="00ED4553"/>
    <w:rsid w:val="00F00D08"/>
    <w:rsid w:val="00F15583"/>
    <w:rsid w:val="00F200EE"/>
    <w:rsid w:val="00F22481"/>
    <w:rsid w:val="00F24C8B"/>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360"/>
    <w:rsid w:val="00F82152"/>
    <w:rsid w:val="00F8749E"/>
    <w:rsid w:val="00F91BF3"/>
    <w:rsid w:val="00FA0AFC"/>
    <w:rsid w:val="00FA1C82"/>
    <w:rsid w:val="00FA2ED1"/>
    <w:rsid w:val="00FA4A52"/>
    <w:rsid w:val="00FB4045"/>
    <w:rsid w:val="00FB4D8E"/>
    <w:rsid w:val="00FC0D0A"/>
    <w:rsid w:val="00FC1B0B"/>
    <w:rsid w:val="00FD1EF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0BFE53"/>
  <w15:docId w15:val="{54EBEA71-BEB5-44FF-BA21-63FC3FFDB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DF27EB"/>
    <w:pPr>
      <w:autoSpaceDE w:val="0"/>
      <w:autoSpaceDN w:val="0"/>
      <w:adjustRightInd w:val="0"/>
    </w:pPr>
    <w:rPr>
      <w:color w:val="000000"/>
      <w:sz w:val="24"/>
      <w:szCs w:val="24"/>
    </w:rPr>
  </w:style>
  <w:style w:type="paragraph" w:styleId="ListParagraph">
    <w:name w:val="List Paragraph"/>
    <w:basedOn w:val="Normal"/>
    <w:uiPriority w:val="34"/>
    <w:qFormat/>
    <w:rsid w:val="005A795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00" w:line="276" w:lineRule="auto"/>
      <w:ind w:left="720"/>
      <w:contextualSpacing/>
      <w:jc w:val="left"/>
    </w:pPr>
    <w:rPr>
      <w:rFonts w:ascii="Calibri" w:hAnsi="Calibri"/>
      <w:spacing w:val="0"/>
      <w:sz w:val="22"/>
      <w:szCs w:val="22"/>
    </w:rPr>
  </w:style>
  <w:style w:type="character" w:styleId="LineNumber">
    <w:name w:val="line number"/>
    <w:basedOn w:val="DefaultParagraphFont"/>
    <w:semiHidden/>
    <w:unhideWhenUsed/>
    <w:rsid w:val="002C70EB"/>
  </w:style>
  <w:style w:type="paragraph" w:styleId="BalloonText">
    <w:name w:val="Balloon Text"/>
    <w:basedOn w:val="Normal"/>
    <w:link w:val="BalloonTextChar"/>
    <w:semiHidden/>
    <w:unhideWhenUsed/>
    <w:rsid w:val="00D13D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3D7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805990">
      <w:bodyDiv w:val="1"/>
      <w:marLeft w:val="0"/>
      <w:marRight w:val="0"/>
      <w:marTop w:val="0"/>
      <w:marBottom w:val="0"/>
      <w:divBdr>
        <w:top w:val="none" w:sz="0" w:space="0" w:color="auto"/>
        <w:left w:val="none" w:sz="0" w:space="0" w:color="auto"/>
        <w:bottom w:val="none" w:sz="0" w:space="0" w:color="auto"/>
        <w:right w:val="none" w:sz="0" w:space="0" w:color="auto"/>
      </w:divBdr>
      <w:divsChild>
        <w:div w:id="1741755308">
          <w:marLeft w:val="0"/>
          <w:marRight w:val="0"/>
          <w:marTop w:val="0"/>
          <w:marBottom w:val="0"/>
          <w:divBdr>
            <w:top w:val="none" w:sz="0" w:space="0" w:color="auto"/>
            <w:left w:val="none" w:sz="0" w:space="0" w:color="auto"/>
            <w:bottom w:val="none" w:sz="0" w:space="0" w:color="auto"/>
            <w:right w:val="none" w:sz="0" w:space="0" w:color="auto"/>
          </w:divBdr>
        </w:div>
        <w:div w:id="863902906">
          <w:marLeft w:val="0"/>
          <w:marRight w:val="0"/>
          <w:marTop w:val="0"/>
          <w:marBottom w:val="0"/>
          <w:divBdr>
            <w:top w:val="none" w:sz="0" w:space="0" w:color="auto"/>
            <w:left w:val="none" w:sz="0" w:space="0" w:color="auto"/>
            <w:bottom w:val="none" w:sz="0" w:space="0" w:color="auto"/>
            <w:right w:val="none" w:sz="0" w:space="0" w:color="auto"/>
          </w:divBdr>
        </w:div>
        <w:div w:id="521944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C9805-97D2-40E1-BF5A-BDBC92B3C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758</Words>
  <Characters>4340</Characters>
  <Application>Microsoft Office Word</Application>
  <DocSecurity>0</DocSecurity>
  <Lines>115</Lines>
  <Paragraphs>36</Paragraphs>
  <ScaleCrop>false</ScaleCrop>
  <HeadingPairs>
    <vt:vector size="2" baseType="variant">
      <vt:variant>
        <vt:lpstr>Title</vt:lpstr>
      </vt:variant>
      <vt:variant>
        <vt:i4>1</vt:i4>
      </vt:variant>
    </vt:vector>
  </HeadingPairs>
  <TitlesOfParts>
    <vt:vector size="1" baseType="lpstr">
      <vt:lpstr>S3000 2R</vt:lpstr>
    </vt:vector>
  </TitlesOfParts>
  <Manager>R225</Manager>
  <Company>NJ Office of Legislative Services</Company>
  <LinksUpToDate>false</LinksUpToDate>
  <CharactersWithSpaces>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S3000 2R</dc:title>
  <dc:subject>20-10059</dc:subject>
  <dc:creator>Senator  WEINBERG</dc:creator>
  <cp:keywords>S3000|3|HS |285|219|219|!|0|</cp:keywords>
  <dc:description>INTRODUCED OCTOBER 8, 2020_x000d_
AMENDED JANUARY 14, 2021_x000d_
AMENDED MARCH 22, 2021</dc:description>
  <cp:lastModifiedBy>Siracusa, Nicole</cp:lastModifiedBy>
  <cp:revision>2</cp:revision>
  <cp:lastPrinted>2021-03-29T15:36:00Z</cp:lastPrinted>
  <dcterms:created xsi:type="dcterms:W3CDTF">2021-03-29T15:36:00Z</dcterms:created>
  <dcterms:modified xsi:type="dcterms:W3CDTF">2021-03-29T15:36:00Z</dcterms:modified>
  <cp:category>s.1: 26:2S-18.2; s.2: APA; s.3: Eff. Date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