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3BA" w:rsidRDefault="00D423BA" w:rsidP="00D423BA">
      <w:pPr>
        <w:pStyle w:val="bpuReprint"/>
      </w:pPr>
      <w:bookmarkStart w:id="0" w:name="bpuFrontPg"/>
      <w:bookmarkStart w:id="1" w:name="_GoBack"/>
      <w:bookmarkEnd w:id="0"/>
      <w:bookmarkEnd w:id="1"/>
      <w:r>
        <w:t>[First Reprint]</w:t>
      </w:r>
    </w:p>
    <w:p w:rsidR="00DC038C" w:rsidRDefault="00DC038C" w:rsidP="00DC038C">
      <w:pPr>
        <w:pStyle w:val="bpuBill"/>
      </w:pPr>
      <w:r>
        <w:t xml:space="preserve">SENATE, No. 3003 </w:t>
      </w:r>
    </w:p>
    <w:p w:rsidR="00DC038C" w:rsidRPr="009D38FF" w:rsidRDefault="00DC038C" w:rsidP="00DC03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4865" r:id="rId7"/>
        </w:object>
      </w:r>
    </w:p>
    <w:p w:rsidR="00DC038C" w:rsidRDefault="00DC038C" w:rsidP="00DC038C">
      <w:pPr>
        <w:pStyle w:val="bpuState"/>
      </w:pPr>
      <w:r>
        <w:t>STATE OF NEW JERSEY</w:t>
      </w:r>
    </w:p>
    <w:p w:rsidR="00DC038C" w:rsidRDefault="00DC038C" w:rsidP="00DC038C">
      <w:pPr>
        <w:pStyle w:val="bpuLegislature"/>
      </w:pPr>
      <w:r>
        <w:t>219th LEGISLATURE</w:t>
      </w:r>
    </w:p>
    <w:p w:rsidR="00DC038C" w:rsidRDefault="00DC038C" w:rsidP="00DC038C">
      <w:pPr>
        <w:pStyle w:val="bpuWpGraphic"/>
      </w:pPr>
      <w:r>
        <w:object w:dxaOrig="8985" w:dyaOrig="255">
          <v:shape id="_x0000_i1026" type="#_x0000_t75" style="width:6in;height:12pt" o:ole="">
            <v:imagedata r:id="rId6" o:title=""/>
          </v:shape>
          <o:OLEObject Type="Embed" ProgID="WPWin6.1" ShapeID="_x0000_i1026" DrawAspect="Content" ObjectID="_1676194866" r:id="rId8"/>
        </w:object>
      </w:r>
      <w:r>
        <w:t xml:space="preserve">  </w:t>
      </w:r>
    </w:p>
    <w:p w:rsidR="00DC038C" w:rsidRDefault="00DC038C" w:rsidP="00DC038C">
      <w:pPr>
        <w:pStyle w:val="bpuIntro"/>
      </w:pPr>
      <w:r>
        <w:t>INTRODUCED OCTOBER 8, 2020</w:t>
      </w:r>
    </w:p>
    <w:p w:rsidR="00DC038C" w:rsidRDefault="00DC038C" w:rsidP="00DC038C">
      <w:pPr>
        <w:pStyle w:val="bpuIntro"/>
      </w:pPr>
    </w:p>
    <w:p w:rsidR="00DC038C" w:rsidRDefault="00DC038C" w:rsidP="00DC038C">
      <w:pPr>
        <w:pStyle w:val="bpuIntro"/>
        <w:sectPr w:rsidR="00DC038C" w:rsidSect="00F44B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038C" w:rsidRDefault="00DC038C" w:rsidP="00DC038C">
      <w:pPr>
        <w:pStyle w:val="bpuIntro"/>
      </w:pPr>
    </w:p>
    <w:p w:rsidR="00DC038C" w:rsidRDefault="00DC038C" w:rsidP="00DC038C">
      <w:pPr>
        <w:pStyle w:val="bpuSponsor"/>
      </w:pPr>
      <w:r>
        <w:t>Sponsored by:</w:t>
      </w:r>
    </w:p>
    <w:p w:rsidR="00DC038C" w:rsidRDefault="00DC038C" w:rsidP="00DC038C">
      <w:pPr>
        <w:pStyle w:val="bpuSponsor"/>
      </w:pPr>
      <w:r>
        <w:t>Senator  FRED H. MADDEN, JR.</w:t>
      </w:r>
    </w:p>
    <w:p w:rsidR="00DC038C" w:rsidRDefault="00DC038C" w:rsidP="00DC038C">
      <w:pPr>
        <w:pStyle w:val="bpuSponsor"/>
      </w:pPr>
      <w:r>
        <w:t>District 4 (Camden and Gloucester)</w:t>
      </w:r>
    </w:p>
    <w:p w:rsidR="00DC038C" w:rsidRDefault="00D153B6" w:rsidP="00D153B6">
      <w:pPr>
        <w:pStyle w:val="bpuSponsor"/>
      </w:pPr>
      <w:r>
        <w:t>Senator  LINDA R. GREENSTEIN</w:t>
      </w:r>
    </w:p>
    <w:p w:rsidR="00D153B6" w:rsidRDefault="00D153B6" w:rsidP="00D153B6">
      <w:pPr>
        <w:pStyle w:val="bpuSponsor"/>
      </w:pPr>
      <w:r>
        <w:t>District 14 (Mercer and Middlesex)</w:t>
      </w:r>
    </w:p>
    <w:p w:rsidR="00D153B6" w:rsidRDefault="00F44B3C" w:rsidP="00F44B3C">
      <w:pPr>
        <w:pStyle w:val="bpuSponsor"/>
      </w:pPr>
      <w:r>
        <w:t>Assemblyman  JOSEPH V. EGAN</w:t>
      </w:r>
    </w:p>
    <w:p w:rsidR="00F44B3C" w:rsidRDefault="00F44B3C" w:rsidP="00F44B3C">
      <w:pPr>
        <w:pStyle w:val="bpuSponsor"/>
      </w:pPr>
      <w:r>
        <w:t>District 17 (Middlesex and Somerset)</w:t>
      </w:r>
    </w:p>
    <w:p w:rsidR="00F44B3C" w:rsidRDefault="00F44B3C" w:rsidP="00F44B3C">
      <w:pPr>
        <w:pStyle w:val="bpuSponsor"/>
      </w:pPr>
      <w:r>
        <w:t>Assemblyman  ERIC HOUGHTALING</w:t>
      </w:r>
    </w:p>
    <w:p w:rsidR="00F44B3C" w:rsidRDefault="00F44B3C" w:rsidP="00F44B3C">
      <w:pPr>
        <w:pStyle w:val="bpuSponsor"/>
      </w:pPr>
      <w:r>
        <w:t>District 11 (Monmouth)</w:t>
      </w:r>
    </w:p>
    <w:p w:rsidR="00F44B3C" w:rsidRPr="00F44B3C" w:rsidRDefault="00F44B3C" w:rsidP="00F44B3C"/>
    <w:p w:rsidR="00DC038C" w:rsidRDefault="00DC038C" w:rsidP="00DC038C">
      <w:pPr>
        <w:pStyle w:val="bpuSponsor"/>
      </w:pPr>
    </w:p>
    <w:p w:rsidR="00DC038C" w:rsidRDefault="00DC038C" w:rsidP="00DC038C">
      <w:pPr>
        <w:pStyle w:val="bpuSponsor"/>
      </w:pPr>
    </w:p>
    <w:p w:rsidR="00DC038C" w:rsidRDefault="00DC038C" w:rsidP="00DC038C">
      <w:pPr>
        <w:pStyle w:val="bpuSponsor"/>
      </w:pPr>
    </w:p>
    <w:p w:rsidR="00DC038C" w:rsidRDefault="00DC038C" w:rsidP="00DC038C">
      <w:pPr>
        <w:pStyle w:val="bpuSponsor"/>
      </w:pPr>
      <w:r>
        <w:t>SYNOPSIS</w:t>
      </w:r>
    </w:p>
    <w:p w:rsidR="00DC038C" w:rsidRDefault="00DC038C" w:rsidP="00DC038C">
      <w:pPr>
        <w:pStyle w:val="bpuNormText"/>
      </w:pPr>
      <w:r>
        <w:tab/>
        <w:t xml:space="preserve">Concerns contributions to the unemployment compensation fund by employee leasing companies. </w:t>
      </w:r>
    </w:p>
    <w:p w:rsidR="00DC038C" w:rsidRDefault="00DC038C" w:rsidP="00DC038C">
      <w:pPr>
        <w:pStyle w:val="bpuNormText"/>
      </w:pPr>
    </w:p>
    <w:p w:rsidR="00DC038C" w:rsidRDefault="00DC038C" w:rsidP="00DC038C">
      <w:pPr>
        <w:pStyle w:val="bpuSponsor"/>
      </w:pPr>
      <w:r>
        <w:t xml:space="preserve">CURRENT VERSION OF TEXT </w:t>
      </w:r>
    </w:p>
    <w:p w:rsidR="00DC038C" w:rsidRDefault="00D423BA" w:rsidP="00DC038C">
      <w:pPr>
        <w:pStyle w:val="bpuNormText"/>
      </w:pPr>
      <w:r>
        <w:tab/>
        <w:t>As amended by the Senate on November 16, 2020.</w:t>
      </w:r>
    </w:p>
    <w:p w:rsidR="00DC038C" w:rsidRDefault="00DC038C" w:rsidP="00DC03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038C" w:rsidRDefault="00DC038C" w:rsidP="008916EC">
      <w:pPr>
        <w:pStyle w:val="FronterPage"/>
        <w:tabs>
          <w:tab w:val="clear" w:pos="720"/>
          <w:tab w:val="clear" w:pos="1440"/>
          <w:tab w:val="clear" w:pos="2160"/>
          <w:tab w:val="clear" w:pos="2880"/>
          <w:tab w:val="clear" w:pos="3600"/>
          <w:tab w:val="clear" w:pos="4320"/>
          <w:tab w:val="clear" w:pos="5040"/>
        </w:tabs>
        <w:sectPr w:rsidR="00DC038C" w:rsidSect="00DC038C">
          <w:type w:val="continuous"/>
          <w:pgSz w:w="12240" w:h="20160" w:code="5"/>
          <w:pgMar w:top="1440" w:right="2275" w:bottom="1440" w:left="2275" w:header="72" w:footer="720" w:gutter="0"/>
          <w:pgNumType w:start="1"/>
          <w:cols w:space="720"/>
          <w:docGrid w:linePitch="360"/>
        </w:sectPr>
      </w:pPr>
    </w:p>
    <w:p w:rsidR="000B1054" w:rsidRDefault="007B650A" w:rsidP="008552C8">
      <w:pPr>
        <w:pStyle w:val="HangingAnAct"/>
      </w:pPr>
      <w:r>
        <w:rPr>
          <w:rStyle w:val="BillHead"/>
        </w:rPr>
        <w:lastRenderedPageBreak/>
        <w:t>An Act</w:t>
      </w:r>
      <w:r w:rsidR="00686AEB" w:rsidRPr="006B7FA7">
        <w:rPr>
          <w:rStyle w:val="HangingAnActChar"/>
        </w:rPr>
        <w:t xml:space="preserve"> </w:t>
      </w:r>
      <w:r w:rsidR="008552C8">
        <w:t>concerning contributions to the unemployment compensation fund by employee leasing companies and amending P.L.2013, c.225.</w:t>
      </w:r>
    </w:p>
    <w:p w:rsidR="008552C8" w:rsidRPr="008552C8" w:rsidRDefault="008552C8" w:rsidP="008552C8"/>
    <w:p w:rsidR="00686AEB" w:rsidRPr="00AA7880" w:rsidRDefault="00686AEB" w:rsidP="00686AEB">
      <w:r>
        <w:tab/>
      </w:r>
      <w:r w:rsidR="007B650A">
        <w:rPr>
          <w:rStyle w:val="BillHeading2"/>
        </w:rPr>
        <w:t>Be It Enacted</w:t>
      </w:r>
      <w:r>
        <w:rPr>
          <w:rStyle w:val="BillHeading2"/>
        </w:rPr>
        <w:t xml:space="preserve"> </w:t>
      </w:r>
      <w:r w:rsidR="007B650A">
        <w:rPr>
          <w:rStyle w:val="BillLanguage"/>
        </w:rPr>
        <w:t>by the Senate and General Assembly of the State of New Jersey:</w:t>
      </w:r>
    </w:p>
    <w:p w:rsidR="00686AEB" w:rsidRPr="00D71D68" w:rsidRDefault="00686AEB" w:rsidP="00686AEB"/>
    <w:p w:rsidR="003D0229" w:rsidRDefault="003D0229" w:rsidP="00686AEB">
      <w:r>
        <w:tab/>
        <w:t>1.</w:t>
      </w:r>
      <w:r>
        <w:tab/>
        <w:t>Section 3 of P.L.2013,</w:t>
      </w:r>
      <w:r w:rsidR="00B376BF">
        <w:t xml:space="preserve"> c.</w:t>
      </w:r>
      <w:r>
        <w:t>225 (C.43:21-7.8) is amended to read as follows:</w:t>
      </w:r>
    </w:p>
    <w:p w:rsidR="003D0229" w:rsidRDefault="003D0229" w:rsidP="003D0229">
      <w:r>
        <w:tab/>
        <w:t>3.</w:t>
      </w:r>
      <w:r w:rsidR="00F96902">
        <w:tab/>
      </w:r>
      <w:r>
        <w:t xml:space="preserve">a. 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t>sometime</w:t>
      </w:r>
      <w:proofErr w:type="spellEnd"/>
      <w:r>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 1563 shall use the same reporting method for all clients.</w:t>
      </w:r>
    </w:p>
    <w:p w:rsidR="003D0229" w:rsidRDefault="003D0229" w:rsidP="003D0229">
      <w:r>
        <w:tab/>
        <w:t>b.</w:t>
      </w:r>
      <w:r>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3D0229" w:rsidRDefault="003D0229" w:rsidP="003D0229">
      <w:r>
        <w:tab/>
        <w:t>(1)</w:t>
      </w:r>
      <w:r>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3D0229" w:rsidRDefault="003D0229" w:rsidP="003D0229">
      <w:r>
        <w:tab/>
        <w:t>(2)</w:t>
      </w:r>
      <w:r>
        <w:tab/>
        <w:t>The employee leasing company and its client are subject to the provisions of R.S.43:21-7(c)(7), irrespective of whether there is common ownership, as follows:</w:t>
      </w:r>
    </w:p>
    <w:p w:rsidR="003D0229" w:rsidRDefault="003D0229" w:rsidP="003D0229">
      <w:r>
        <w:tab/>
        <w:t>(a)</w:t>
      </w:r>
      <w:r>
        <w:tab/>
        <w:t xml:space="preserve">On July 1 of the year following the effective date of the 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w:t>
      </w:r>
      <w:r w:rsidR="003519E1">
        <w:t xml:space="preserve"> </w:t>
      </w:r>
      <w:r>
        <w:t>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w:t>
      </w:r>
      <w:r w:rsidR="00BC2F36">
        <w:t>.  T</w:t>
      </w:r>
      <w:r>
        <w:t>he department shall provide to the employee leasing company, within 15 days of request, any data related to the client's prior unemployment insurance history, including but not limited to, contributions paid, annual payrolls and benefit charges, on or after the effective date of the employee leasing agreement.</w:t>
      </w:r>
    </w:p>
    <w:p w:rsidR="003D0229" w:rsidRDefault="003D0229" w:rsidP="003D0229">
      <w:r>
        <w:tab/>
        <w:t>(b)</w:t>
      </w:r>
      <w:r>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3D0229" w:rsidRDefault="003D0229" w:rsidP="003D0229">
      <w:r>
        <w:tab/>
        <w:t>(c)</w:t>
      </w:r>
      <w:r>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3D0229" w:rsidRDefault="003D0229" w:rsidP="003D0229">
      <w:r>
        <w:tab/>
        <w:t>(3)</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3D0229" w:rsidRDefault="003D0229" w:rsidP="003D0229">
      <w:r>
        <w:tab/>
        <w:t>(4)</w:t>
      </w:r>
      <w:r>
        <w:tab/>
        <w:t>The employee leasing company shall notify the department in writing on forms prescribed by the department not later than 30 days after the date of the following:</w:t>
      </w:r>
    </w:p>
    <w:p w:rsidR="003D0229" w:rsidRDefault="003D0229" w:rsidP="003D0229">
      <w:r>
        <w:tab/>
        <w:t>(a)</w:t>
      </w:r>
      <w:r>
        <w:tab/>
        <w:t>The termination of an employee leasing agreement; or</w:t>
      </w:r>
    </w:p>
    <w:p w:rsidR="003D0229" w:rsidRDefault="003D0229" w:rsidP="003D0229">
      <w:r>
        <w:tab/>
        <w:t>(b)</w:t>
      </w:r>
      <w:r>
        <w:tab/>
        <w:t>The employee leasing company elects the Client Level Reporting Method under subsection c. of this section.</w:t>
      </w:r>
    </w:p>
    <w:p w:rsidR="003D0229" w:rsidRDefault="003D0229" w:rsidP="003D0229">
      <w:r>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3D0229" w:rsidRDefault="003D0229" w:rsidP="003D0229">
      <w:r>
        <w:tab/>
        <w:t>c.</w:t>
      </w:r>
      <w:r w:rsidR="001A46F4">
        <w:tab/>
      </w:r>
      <w:r>
        <w:t xml:space="preserve">(1) </w:t>
      </w:r>
      <w:r w:rsidR="00650FE4">
        <w:t xml:space="preserve"> </w:t>
      </w:r>
      <w:r>
        <w:t xml:space="preserve">An employee leasing company may elect to use the Client Level Reporting Method, </w:t>
      </w:r>
      <w:r w:rsidR="00AB6677" w:rsidRPr="00AB6677">
        <w:rPr>
          <w:rFonts w:ascii="Albertus Extra Bold" w:hAnsi="Albertus Extra Bold"/>
          <w:b/>
        </w:rPr>
        <w:t>[</w:t>
      </w:r>
      <w:r>
        <w:t>which uses</w:t>
      </w:r>
      <w:r w:rsidR="00AB6677" w:rsidRPr="00AB6677">
        <w:rPr>
          <w:rFonts w:ascii="Albertus Extra Bold" w:hAnsi="Albertus Extra Bold"/>
          <w:b/>
        </w:rPr>
        <w:t>]</w:t>
      </w:r>
      <w:r>
        <w:t xml:space="preserve"> </w:t>
      </w:r>
      <w:r w:rsidR="00AB6677">
        <w:rPr>
          <w:u w:val="single"/>
        </w:rPr>
        <w:t>using</w:t>
      </w:r>
      <w:r w:rsidR="00AB6677">
        <w:t xml:space="preserve"> </w:t>
      </w:r>
      <w:r>
        <w:t>the state employer</w:t>
      </w:r>
      <w:r w:rsidR="00AB6677">
        <w:t xml:space="preserve"> </w:t>
      </w:r>
      <w:r w:rsidR="00AB6677">
        <w:rPr>
          <w:u w:val="single"/>
        </w:rPr>
        <w:t>account,</w:t>
      </w:r>
      <w:r>
        <w:t xml:space="preserve"> account number and contribution rate of the client company to report and pay all required contributions to the unemployment compensation fund as required by R.S.43:21-7 relating exclusively to covered employees.</w:t>
      </w:r>
    </w:p>
    <w:p w:rsidR="003D0229" w:rsidRDefault="003D0229" w:rsidP="003D0229">
      <w:r>
        <w:tab/>
        <w:t>(2)</w:t>
      </w:r>
      <w:r>
        <w:tab/>
        <w:t xml:space="preserve">An employee leasing company doing business in New Jersey as of the effective date of this act shall make the election to use the Client Level Reporting Method in writing to the department not later than: </w:t>
      </w:r>
    </w:p>
    <w:p w:rsidR="003D0229" w:rsidRDefault="003D0229" w:rsidP="003D0229">
      <w:r>
        <w:tab/>
        <w:t>(a)</w:t>
      </w:r>
      <w:r>
        <w:tab/>
        <w:t xml:space="preserve">60 days after the effective date of this act for reporting and payment of contributions under the "unemployment compensation law," R.S.43:21-1 et seq., for the 2014 calendar year; or </w:t>
      </w:r>
    </w:p>
    <w:p w:rsidR="003D0229" w:rsidRDefault="003D0229" w:rsidP="003D0229">
      <w:r>
        <w:tab/>
        <w:t>(b)</w:t>
      </w:r>
      <w:r w:rsidR="00F96902">
        <w:tab/>
      </w:r>
      <w:r>
        <w:t>September 30, 2014, for reporting and payment of contributions under the "unemployment compensation law," R.S.43:21-1 et seq., effective no later than July 1, 2015.</w:t>
      </w:r>
    </w:p>
    <w:p w:rsidR="003D0229" w:rsidRDefault="003D0229" w:rsidP="003D0229">
      <w:r>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3D0229" w:rsidRDefault="003D0229" w:rsidP="003D0229">
      <w:r>
        <w:tab/>
        <w:t>(3)</w:t>
      </w:r>
      <w:r>
        <w:tab/>
        <w:t>An employee leasing company which uses the Entity Level Reporting Method may subsequently elect the Client Level Reporting Method, subject to the provisions of this section, including the following requirements:</w:t>
      </w:r>
    </w:p>
    <w:p w:rsidR="003D0229" w:rsidRDefault="003D0229" w:rsidP="003D0229">
      <w:r>
        <w:tab/>
        <w:t>(a)</w:t>
      </w:r>
      <w:r>
        <w:tab/>
        <w:t>The employee leasing company shall make the election to use the Client Level Reporting Method not later than December 1 of the calendar year before the calendar year in which the election is to be effective;</w:t>
      </w:r>
    </w:p>
    <w:p w:rsidR="003D0229" w:rsidRDefault="003D0229" w:rsidP="003D0229">
      <w:r>
        <w:tab/>
        <w:t>(b)</w:t>
      </w:r>
      <w:r>
        <w:tab/>
        <w:t>The election shall be made in a written notice submitted to the department; and</w:t>
      </w:r>
    </w:p>
    <w:p w:rsidR="003D0229" w:rsidRDefault="003D0229" w:rsidP="003D0229">
      <w:r>
        <w:tab/>
        <w:t>(c)</w:t>
      </w:r>
      <w:r>
        <w:tab/>
        <w:t>The election shall be effective for the calendar year immediately following the year in which the department receives the notice of election.</w:t>
      </w:r>
    </w:p>
    <w:p w:rsidR="003D0229" w:rsidRDefault="003D0229" w:rsidP="003D0229">
      <w:r>
        <w:tab/>
        <w:t>(4)</w:t>
      </w:r>
      <w:r>
        <w:tab/>
        <w:t>The following apply to an employee leasing company that elects to use the Client Level Reporting Method:</w:t>
      </w:r>
    </w:p>
    <w:p w:rsidR="003D0229" w:rsidRDefault="003D0229" w:rsidP="003D0229">
      <w:r>
        <w:tab/>
        <w:t>(a)</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3D0229" w:rsidRDefault="003D0229" w:rsidP="003D0229">
      <w:r>
        <w:tab/>
        <w:t>(b)</w:t>
      </w:r>
      <w:r>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4B0887" w:rsidRDefault="004B0887" w:rsidP="004B0887">
      <w:r>
        <w:tab/>
        <w:t>(c)</w:t>
      </w:r>
      <w:r>
        <w:tab/>
        <w:t xml:space="preserve">If a client company is an employing unit when the employee leasing agreement becomes effective, the </w:t>
      </w:r>
      <w:r w:rsidRPr="004B0887">
        <w:rPr>
          <w:rFonts w:ascii="Albertus Extra Bold" w:hAnsi="Albertus Extra Bold"/>
          <w:b/>
        </w:rPr>
        <w:t>[</w:t>
      </w:r>
      <w:r>
        <w:t>client</w:t>
      </w:r>
      <w:r w:rsidRPr="004B0887">
        <w:rPr>
          <w:rFonts w:ascii="Albertus Extra Bold" w:hAnsi="Albertus Extra Bold"/>
          <w:b/>
        </w:rPr>
        <w:t>]</w:t>
      </w:r>
      <w:r>
        <w:t xml:space="preserve"> </w:t>
      </w:r>
      <w:r w:rsidRPr="004B0887">
        <w:rPr>
          <w:u w:val="single"/>
        </w:rPr>
        <w:t>employee leasing</w:t>
      </w:r>
      <w:r>
        <w:t xml:space="preserve">  company </w:t>
      </w:r>
      <w:r w:rsidRPr="004B0887">
        <w:rPr>
          <w:rFonts w:ascii="Albertus Extra Bold" w:hAnsi="Albertus Extra Bold"/>
          <w:b/>
        </w:rPr>
        <w:t>[</w:t>
      </w:r>
      <w:r>
        <w:t>retains its</w:t>
      </w:r>
      <w:r w:rsidRPr="004B0887">
        <w:rPr>
          <w:rFonts w:ascii="Albertus Extra Bold" w:hAnsi="Albertus Extra Bold"/>
          <w:b/>
        </w:rPr>
        <w:t>]</w:t>
      </w:r>
      <w:r>
        <w:t xml:space="preserve"> </w:t>
      </w:r>
      <w:r w:rsidRPr="004B0887">
        <w:rPr>
          <w:u w:val="single"/>
        </w:rPr>
        <w:t>shall use the client company’s account, account number,</w:t>
      </w:r>
      <w:r>
        <w:t xml:space="preserve"> experience </w:t>
      </w:r>
      <w:r w:rsidR="00516AC4" w:rsidRPr="00516AC4">
        <w:rPr>
          <w:rFonts w:ascii="Albertus Extra Bold" w:hAnsi="Albertus Extra Bold"/>
          <w:b/>
        </w:rPr>
        <w:t>[</w:t>
      </w:r>
      <w:r>
        <w:t>balance</w:t>
      </w:r>
      <w:r w:rsidR="00516AC4" w:rsidRPr="00516AC4">
        <w:rPr>
          <w:rFonts w:ascii="Albertus Extra Bold" w:hAnsi="Albertus Extra Bold"/>
          <w:b/>
        </w:rPr>
        <w:t>]</w:t>
      </w:r>
      <w:r w:rsidR="00516AC4">
        <w:t xml:space="preserve"> </w:t>
      </w:r>
      <w:r w:rsidR="00516AC4">
        <w:rPr>
          <w:u w:val="single"/>
        </w:rPr>
        <w:t>rate</w:t>
      </w:r>
      <w:r>
        <w:t>, liabilities, and wage credits</w:t>
      </w:r>
      <w:r w:rsidRPr="004B0887">
        <w:rPr>
          <w:rFonts w:ascii="Albertus Extra Bold" w:hAnsi="Albertus Extra Bold"/>
          <w:b/>
        </w:rPr>
        <w:t>[</w:t>
      </w:r>
      <w:r>
        <w:t>, and R.S. 43:21-7(c)(7) shall not apply to the client company or to the employee leasing company</w:t>
      </w:r>
      <w:r w:rsidRPr="004B0887">
        <w:rPr>
          <w:rFonts w:ascii="Albertus Extra Bold" w:hAnsi="Albertus Extra Bold"/>
          <w:b/>
        </w:rPr>
        <w:t>]</w:t>
      </w:r>
      <w:r>
        <w:t xml:space="preserve"> </w:t>
      </w:r>
      <w:r w:rsidR="00DC2494" w:rsidRPr="00DC2494">
        <w:rPr>
          <w:u w:val="single"/>
        </w:rPr>
        <w:t>to file quarterly wage reports and remit payment for taxes associated with those wages</w:t>
      </w:r>
      <w:r>
        <w:t>;</w:t>
      </w:r>
    </w:p>
    <w:p w:rsidR="00F367B0" w:rsidRPr="00C96ED7" w:rsidRDefault="00F367B0" w:rsidP="00F367B0">
      <w:pPr>
        <w:rPr>
          <w:u w:val="single"/>
        </w:rPr>
      </w:pPr>
      <w:r>
        <w:tab/>
        <w:t>(d)</w:t>
      </w:r>
      <w:r>
        <w:tab/>
        <w:t xml:space="preserve">Unless contrary to applicable law, if a client company is not an employing unit on the date the employee leasing agreement becomes effective, the client company immediately qualifies for an employer experience account under R.S. 43:21-7 and is subject to section 1 of P.L.1992, c.202 (C.43:21-7.7) for purposes of establishing an initial contribution rate </w:t>
      </w:r>
      <w:r w:rsidRPr="00F367B0">
        <w:rPr>
          <w:u w:val="single"/>
        </w:rPr>
        <w:t xml:space="preserve">and the employee leasing company shall use the client company’s account and account number to file </w:t>
      </w:r>
      <w:r w:rsidR="006E5965">
        <w:rPr>
          <w:u w:val="single"/>
        </w:rPr>
        <w:t>quarterly wage reports and remi</w:t>
      </w:r>
      <w:r w:rsidRPr="00F367B0">
        <w:rPr>
          <w:u w:val="single"/>
        </w:rPr>
        <w:t>t payment for taxes associate</w:t>
      </w:r>
      <w:r w:rsidR="006E5965">
        <w:rPr>
          <w:u w:val="single"/>
        </w:rPr>
        <w:t>d</w:t>
      </w:r>
      <w:r w:rsidRPr="00F367B0">
        <w:rPr>
          <w:u w:val="single"/>
        </w:rPr>
        <w:t xml:space="preserve"> with those wages</w:t>
      </w:r>
      <w:r>
        <w:t xml:space="preserve">; </w:t>
      </w:r>
      <w:r w:rsidR="00C96ED7">
        <w:rPr>
          <w:u w:val="single"/>
        </w:rPr>
        <w:t>and</w:t>
      </w:r>
    </w:p>
    <w:p w:rsidR="003D0229" w:rsidRDefault="003D0229" w:rsidP="003D0229">
      <w:r>
        <w:tab/>
        <w:t>(e)</w:t>
      </w:r>
      <w:r w:rsidR="001A46F4">
        <w:tab/>
      </w:r>
      <w:r w:rsidR="00C96ED7" w:rsidRPr="00C96ED7">
        <w:rPr>
          <w:rFonts w:ascii="Albertus Extra Bold" w:hAnsi="Albertus Extra Bold"/>
          <w:b/>
        </w:rPr>
        <w:t>[</w:t>
      </w:r>
      <w:r>
        <w:t>A client is associated with the employee leasing company's employer experience account by means of the employee leasing company's primary federal employer identification number (FEIN) for purposes of liability under the "unemployment compensation law," R.S.43:21-1 et seq. and federal certification; and</w:t>
      </w:r>
    </w:p>
    <w:p w:rsidR="003D0229" w:rsidRDefault="003D0229" w:rsidP="00650FE4">
      <w:pPr>
        <w:tabs>
          <w:tab w:val="clear" w:pos="720"/>
          <w:tab w:val="left" w:pos="810"/>
        </w:tabs>
      </w:pPr>
      <w:r>
        <w:tab/>
        <w:t>(f)</w:t>
      </w:r>
      <w:r w:rsidR="00C96ED7" w:rsidRPr="00C96ED7">
        <w:rPr>
          <w:rFonts w:ascii="Albertus Extra Bold" w:hAnsi="Albertus Extra Bold"/>
          <w:b/>
        </w:rPr>
        <w:t>]</w:t>
      </w:r>
      <w:r w:rsidR="00650FE4">
        <w:tab/>
      </w:r>
      <w:r>
        <w:t>Upon the dissolution of an employee leasing agreement, the client company shall retain the experience balance, liabilities, and wage credits for the client company's employing unit account</w:t>
      </w:r>
      <w:r w:rsidR="00C96ED7" w:rsidRPr="00C96ED7">
        <w:rPr>
          <w:rFonts w:ascii="Albertus Extra Bold" w:hAnsi="Albertus Extra Bold"/>
          <w:b/>
        </w:rPr>
        <w:t>[</w:t>
      </w:r>
      <w:r>
        <w:t>; the client company's federal employer identification number (FEIN) shall become the primary FEIN on the employing unit's account; and the employee leasing company's FEIN shall not be associated with the client's company's employing unit account</w:t>
      </w:r>
      <w:r w:rsidR="00C96ED7" w:rsidRPr="00C96ED7">
        <w:rPr>
          <w:rFonts w:ascii="Albertus Extra Bold" w:hAnsi="Albertus Extra Bold"/>
          <w:b/>
        </w:rPr>
        <w:t>]</w:t>
      </w:r>
      <w:r>
        <w:t>.</w:t>
      </w:r>
    </w:p>
    <w:p w:rsidR="003D0229" w:rsidRDefault="003D0229" w:rsidP="003D0229">
      <w:r>
        <w:tab/>
        <w:t>d.</w:t>
      </w:r>
      <w:r>
        <w:tab/>
        <w:t>For the purposes of this section, the client company which reports under the Entity Level Reporting Method or the Client Level Reporting Method, and not the employee leasing company, shall remain solely liable for any and all liabilities which originated or preceded the effective date of the employee leasing agreement.</w:t>
      </w:r>
    </w:p>
    <w:p w:rsidR="003D0229" w:rsidRDefault="003D0229" w:rsidP="003D0229">
      <w:r>
        <w:tab/>
        <w:t>Regardless of the reporting method utilized by an employee leasing company, either the employee leasing company or the client can hold the short term private or public disability insurance policy covering the covered employees.</w:t>
      </w:r>
    </w:p>
    <w:p w:rsidR="003D0229" w:rsidRDefault="003D0229" w:rsidP="003D0229">
      <w:r>
        <w:tab/>
        <w:t>e.</w:t>
      </w:r>
      <w:r>
        <w:tab/>
        <w:t>For the purposes of this section:</w:t>
      </w:r>
    </w:p>
    <w:p w:rsidR="003D0229" w:rsidRDefault="003D0229" w:rsidP="003D0229">
      <w:r>
        <w:tab/>
        <w:t>(1)</w:t>
      </w:r>
      <w:r>
        <w:tab/>
        <w:t>The term "Client Level Reporting Method" has the meaning set forth in subsection c. of this section;</w:t>
      </w:r>
    </w:p>
    <w:p w:rsidR="003D0229" w:rsidRDefault="003D0229" w:rsidP="003D0229">
      <w:r>
        <w:tab/>
        <w:t>(2)</w:t>
      </w:r>
      <w:r>
        <w:tab/>
        <w:t>The term "Entity Level Reporting Method" has the meaning set forth in subsection b. of this section; and</w:t>
      </w:r>
    </w:p>
    <w:p w:rsidR="003D0229" w:rsidRDefault="003D0229" w:rsidP="003D0229">
      <w:r>
        <w:tab/>
        <w:t>(3)</w:t>
      </w:r>
      <w:r>
        <w:tab/>
        <w:t>The terms "client company," "covered employee," "employee leasing agreement" or "professional employer agreement," and "employee leasing company" or "professional employer organization" have the meanings set forth in section 1 of P.L.2001, c.260 (C.34:8-67).</w:t>
      </w:r>
    </w:p>
    <w:p w:rsidR="003D0229" w:rsidRDefault="003D0229" w:rsidP="003D0229">
      <w:r>
        <w:t>(</w:t>
      </w:r>
      <w:proofErr w:type="spellStart"/>
      <w:r>
        <w:t>cf</w:t>
      </w:r>
      <w:proofErr w:type="spellEnd"/>
      <w:r>
        <w:t>: P.L.2013, c.225, s.3)</w:t>
      </w:r>
    </w:p>
    <w:p w:rsidR="003D0229" w:rsidRDefault="003D0229" w:rsidP="00686AEB"/>
    <w:p w:rsidR="00D91A0C" w:rsidRPr="00D423BA" w:rsidRDefault="00D423BA"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23BA">
        <w:rPr>
          <w:spacing w:val="0"/>
        </w:rPr>
        <w:tab/>
        <w:t>2.</w:t>
      </w:r>
      <w:r w:rsidRPr="00D423BA">
        <w:rPr>
          <w:spacing w:val="0"/>
        </w:rPr>
        <w:tab/>
        <w:t xml:space="preserve">This act shall take effect </w:t>
      </w:r>
      <w:r w:rsidRPr="00D423BA">
        <w:rPr>
          <w:rFonts w:ascii="Albertus Extra Bold" w:hAnsi="Albertus Extra Bold"/>
          <w:b/>
          <w:vertAlign w:val="superscript"/>
        </w:rPr>
        <w:t>1</w:t>
      </w:r>
      <w:r w:rsidRPr="00D423BA">
        <w:rPr>
          <w:rFonts w:ascii="Albertus Extra Bold" w:hAnsi="Albertus Extra Bold"/>
          <w:b/>
        </w:rPr>
        <w:t>[</w:t>
      </w:r>
      <w:r w:rsidRPr="00D423BA">
        <w:rPr>
          <w:spacing w:val="0"/>
        </w:rPr>
        <w:t>immediately</w:t>
      </w:r>
      <w:r w:rsidRPr="00D423BA">
        <w:rPr>
          <w:rFonts w:ascii="Albertus Extra Bold" w:hAnsi="Albertus Extra Bold"/>
          <w:b/>
        </w:rPr>
        <w:t>]</w:t>
      </w:r>
      <w:r w:rsidRPr="00D423BA">
        <w:rPr>
          <w:spacing w:val="0"/>
        </w:rPr>
        <w:t xml:space="preserve"> </w:t>
      </w:r>
      <w:r w:rsidRPr="00D423BA">
        <w:rPr>
          <w:spacing w:val="0"/>
          <w:u w:val="single"/>
        </w:rPr>
        <w:t>on January 1, 2021</w:t>
      </w:r>
      <w:r w:rsidRPr="00D423BA">
        <w:rPr>
          <w:rFonts w:ascii="Albertus Extra Bold" w:hAnsi="Albertus Extra Bold"/>
          <w:b/>
          <w:vertAlign w:val="superscript"/>
        </w:rPr>
        <w:t>1</w:t>
      </w:r>
      <w:r w:rsidRPr="00D423BA">
        <w:rPr>
          <w:spacing w:val="0"/>
        </w:rPr>
        <w:t>.</w:t>
      </w:r>
    </w:p>
    <w:sectPr w:rsidR="00D91A0C" w:rsidRPr="00D423BA" w:rsidSect="00DC03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B4" w:rsidRDefault="00F44AB4">
      <w:r>
        <w:separator/>
      </w:r>
    </w:p>
  </w:endnote>
  <w:endnote w:type="continuationSeparator" w:id="0">
    <w:p w:rsidR="00F44AB4" w:rsidRDefault="00F4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FE4" w:rsidRDefault="00F44B3C" w:rsidP="00F44B3C">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50A" w:rsidRPr="00921C91" w:rsidRDefault="007B6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650A" w:rsidRPr="00921C91" w:rsidRDefault="007B650A">
    <w:pPr>
      <w:pStyle w:val="Footer"/>
      <w:rPr>
        <w:szCs w:val="18"/>
      </w:rPr>
    </w:pPr>
  </w:p>
  <w:p w:rsidR="007B650A" w:rsidRPr="00921C91" w:rsidRDefault="007B6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23BA" w:rsidRDefault="00D423BA" w:rsidP="00686AEB">
    <w:pPr>
      <w:pStyle w:val="Footer"/>
    </w:pPr>
    <w:r>
      <w:tab/>
      <w:t>Matter enclosed in superscript numerals has been adopted as follows:</w:t>
    </w:r>
  </w:p>
  <w:p w:rsidR="00D423BA" w:rsidRDefault="00D423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p w:rsidR="00D423BA" w:rsidRPr="00D423BA" w:rsidRDefault="00D423B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B4" w:rsidRDefault="00F44AB4">
      <w:r>
        <w:separator/>
      </w:r>
    </w:p>
  </w:footnote>
  <w:footnote w:type="continuationSeparator" w:id="0">
    <w:p w:rsidR="00F44AB4" w:rsidRDefault="00F44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37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38C" w:rsidRDefault="00DC038C" w:rsidP="00DC038C">
    <w:pPr>
      <w:pStyle w:val="bpuHeadSpon"/>
    </w:pPr>
    <w:r w:rsidRPr="00DC038C">
      <w:rPr>
        <w:rStyle w:val="bpuHeadSponChar"/>
      </w:rPr>
      <w:t>S3003</w:t>
    </w:r>
    <w:r>
      <w:t xml:space="preserve"> </w:t>
    </w:r>
    <w:r w:rsidR="00D423BA">
      <w:t xml:space="preserve">[1R] </w:t>
    </w:r>
    <w:r>
      <w:t>MADDEN</w:t>
    </w:r>
    <w:r w:rsidR="00D153B6">
      <w:t>, GREENSTEIN</w:t>
    </w:r>
  </w:p>
  <w:p w:rsidR="00DC038C" w:rsidRDefault="00DC038C" w:rsidP="00DC038C">
    <w:pPr>
      <w:pStyle w:val="bpuHeadSpon"/>
    </w:pPr>
    <w:r>
      <w:fldChar w:fldCharType="begin"/>
    </w:r>
    <w:r>
      <w:instrText xml:space="preserve"> PAGE  \* MERGEFORMAT </w:instrText>
    </w:r>
    <w:r>
      <w:fldChar w:fldCharType="separate"/>
    </w:r>
    <w:r w:rsidR="00A63167">
      <w:rPr>
        <w:noProof/>
      </w:rPr>
      <w:t>6</w:t>
    </w:r>
    <w:r>
      <w:fldChar w:fldCharType="end"/>
    </w:r>
  </w:p>
  <w:p w:rsidR="00DC038C" w:rsidRDefault="00DC038C" w:rsidP="00DC03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038C" w:rsidRDefault="00DC038C" w:rsidP="00DC038C">
    <w:pPr>
      <w:pStyle w:val="bpuHeadSpon"/>
    </w:pPr>
    <w:r w:rsidRPr="00DC038C">
      <w:rPr>
        <w:rStyle w:val="bpuHeadSponChar"/>
      </w:rPr>
      <w:t>S3003</w:t>
    </w:r>
    <w:r>
      <w:t xml:space="preserve"> </w:t>
    </w:r>
    <w:r w:rsidR="00D423BA">
      <w:t xml:space="preserve">[1R] </w:t>
    </w:r>
    <w:r>
      <w:t>MADDEN</w:t>
    </w:r>
    <w:r w:rsidR="00D153B6">
      <w:t>, GREENSTEIN</w:t>
    </w:r>
  </w:p>
  <w:p w:rsidR="00DC038C" w:rsidRDefault="00DC038C" w:rsidP="00DC038C">
    <w:pPr>
      <w:pStyle w:val="bpuHeadSpon"/>
    </w:pPr>
    <w:r>
      <w:fldChar w:fldCharType="begin"/>
    </w:r>
    <w:r>
      <w:instrText xml:space="preserve"> PAGE  \* MERGEFORMAT </w:instrText>
    </w:r>
    <w:r>
      <w:fldChar w:fldCharType="separate"/>
    </w:r>
    <w:r w:rsidR="00A63167">
      <w:rPr>
        <w:noProof/>
      </w:rPr>
      <w:t>2</w:t>
    </w:r>
    <w:r>
      <w:fldChar w:fldCharType="end"/>
    </w:r>
  </w:p>
  <w:p w:rsidR="00DC038C" w:rsidRDefault="00DC038C" w:rsidP="00DC0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6F4"/>
    <w:rsid w:val="001A66B6"/>
    <w:rsid w:val="001B4716"/>
    <w:rsid w:val="001B4EA4"/>
    <w:rsid w:val="001C7C52"/>
    <w:rsid w:val="001D25F3"/>
    <w:rsid w:val="001E15F1"/>
    <w:rsid w:val="001E16FA"/>
    <w:rsid w:val="001E6213"/>
    <w:rsid w:val="001F14C7"/>
    <w:rsid w:val="001F7405"/>
    <w:rsid w:val="00202C38"/>
    <w:rsid w:val="00205533"/>
    <w:rsid w:val="00212B8D"/>
    <w:rsid w:val="00222983"/>
    <w:rsid w:val="002370D0"/>
    <w:rsid w:val="00246DE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9E1"/>
    <w:rsid w:val="00354334"/>
    <w:rsid w:val="0036180C"/>
    <w:rsid w:val="00363CF5"/>
    <w:rsid w:val="00364344"/>
    <w:rsid w:val="003702CA"/>
    <w:rsid w:val="00370617"/>
    <w:rsid w:val="00382F1F"/>
    <w:rsid w:val="00391DA4"/>
    <w:rsid w:val="003A3C64"/>
    <w:rsid w:val="003A3F83"/>
    <w:rsid w:val="003C43EF"/>
    <w:rsid w:val="003C5A6B"/>
    <w:rsid w:val="003C7FB2"/>
    <w:rsid w:val="003D0229"/>
    <w:rsid w:val="003D24DE"/>
    <w:rsid w:val="003D79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67"/>
    <w:rsid w:val="004704A8"/>
    <w:rsid w:val="00471102"/>
    <w:rsid w:val="00471F18"/>
    <w:rsid w:val="00482218"/>
    <w:rsid w:val="00484144"/>
    <w:rsid w:val="00484C19"/>
    <w:rsid w:val="00485866"/>
    <w:rsid w:val="00492076"/>
    <w:rsid w:val="00493B1D"/>
    <w:rsid w:val="00497037"/>
    <w:rsid w:val="004A3009"/>
    <w:rsid w:val="004A6940"/>
    <w:rsid w:val="004A77A4"/>
    <w:rsid w:val="004B0887"/>
    <w:rsid w:val="004C58E4"/>
    <w:rsid w:val="004C742C"/>
    <w:rsid w:val="004D5287"/>
    <w:rsid w:val="004E1F3E"/>
    <w:rsid w:val="004F21BD"/>
    <w:rsid w:val="004F4F1D"/>
    <w:rsid w:val="004F74DD"/>
    <w:rsid w:val="00501317"/>
    <w:rsid w:val="0050495C"/>
    <w:rsid w:val="00505DC9"/>
    <w:rsid w:val="00506E1E"/>
    <w:rsid w:val="00513C81"/>
    <w:rsid w:val="00516AC4"/>
    <w:rsid w:val="00527BFB"/>
    <w:rsid w:val="00532A32"/>
    <w:rsid w:val="00540B0B"/>
    <w:rsid w:val="0054460F"/>
    <w:rsid w:val="005536CD"/>
    <w:rsid w:val="00554051"/>
    <w:rsid w:val="00557240"/>
    <w:rsid w:val="005602C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4A4"/>
    <w:rsid w:val="005F2A97"/>
    <w:rsid w:val="005F399B"/>
    <w:rsid w:val="006019F8"/>
    <w:rsid w:val="00605B20"/>
    <w:rsid w:val="0061156F"/>
    <w:rsid w:val="00613FF5"/>
    <w:rsid w:val="006155A8"/>
    <w:rsid w:val="00621B94"/>
    <w:rsid w:val="00626239"/>
    <w:rsid w:val="00635316"/>
    <w:rsid w:val="00635449"/>
    <w:rsid w:val="006378C5"/>
    <w:rsid w:val="00645E6A"/>
    <w:rsid w:val="00650FE4"/>
    <w:rsid w:val="00651844"/>
    <w:rsid w:val="00665CBC"/>
    <w:rsid w:val="00667A5C"/>
    <w:rsid w:val="00677316"/>
    <w:rsid w:val="00686AEB"/>
    <w:rsid w:val="006B7897"/>
    <w:rsid w:val="006B7FA7"/>
    <w:rsid w:val="006C086A"/>
    <w:rsid w:val="006C21C1"/>
    <w:rsid w:val="006C7327"/>
    <w:rsid w:val="006D00E5"/>
    <w:rsid w:val="006D791B"/>
    <w:rsid w:val="006E2895"/>
    <w:rsid w:val="006E596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50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C8"/>
    <w:rsid w:val="008573B0"/>
    <w:rsid w:val="0086283F"/>
    <w:rsid w:val="00866563"/>
    <w:rsid w:val="00867AC2"/>
    <w:rsid w:val="0087056E"/>
    <w:rsid w:val="00875402"/>
    <w:rsid w:val="00884D51"/>
    <w:rsid w:val="008916EC"/>
    <w:rsid w:val="00891E4F"/>
    <w:rsid w:val="00894E01"/>
    <w:rsid w:val="008A31C5"/>
    <w:rsid w:val="008A4F9A"/>
    <w:rsid w:val="008B2850"/>
    <w:rsid w:val="008C79B3"/>
    <w:rsid w:val="008D77BD"/>
    <w:rsid w:val="008E454C"/>
    <w:rsid w:val="008F1E5A"/>
    <w:rsid w:val="00901BDA"/>
    <w:rsid w:val="009121D8"/>
    <w:rsid w:val="00916F7A"/>
    <w:rsid w:val="00917FE3"/>
    <w:rsid w:val="009318C7"/>
    <w:rsid w:val="00931C09"/>
    <w:rsid w:val="00931E1F"/>
    <w:rsid w:val="009348C2"/>
    <w:rsid w:val="009440D0"/>
    <w:rsid w:val="009523A3"/>
    <w:rsid w:val="00960958"/>
    <w:rsid w:val="00963A46"/>
    <w:rsid w:val="00966A3E"/>
    <w:rsid w:val="00971493"/>
    <w:rsid w:val="00971AD9"/>
    <w:rsid w:val="00973069"/>
    <w:rsid w:val="00973523"/>
    <w:rsid w:val="00980766"/>
    <w:rsid w:val="009835D4"/>
    <w:rsid w:val="009865D4"/>
    <w:rsid w:val="00993414"/>
    <w:rsid w:val="00993E6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03"/>
    <w:rsid w:val="00A305D6"/>
    <w:rsid w:val="00A342C4"/>
    <w:rsid w:val="00A50F6B"/>
    <w:rsid w:val="00A52237"/>
    <w:rsid w:val="00A551D6"/>
    <w:rsid w:val="00A6251B"/>
    <w:rsid w:val="00A63167"/>
    <w:rsid w:val="00A6754E"/>
    <w:rsid w:val="00A70F58"/>
    <w:rsid w:val="00A72987"/>
    <w:rsid w:val="00A7346B"/>
    <w:rsid w:val="00A84C4F"/>
    <w:rsid w:val="00A932A1"/>
    <w:rsid w:val="00A96E06"/>
    <w:rsid w:val="00AA6197"/>
    <w:rsid w:val="00AA6C70"/>
    <w:rsid w:val="00AB16FD"/>
    <w:rsid w:val="00AB4813"/>
    <w:rsid w:val="00AB667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BF"/>
    <w:rsid w:val="00B45B34"/>
    <w:rsid w:val="00B57047"/>
    <w:rsid w:val="00B61D86"/>
    <w:rsid w:val="00B6342D"/>
    <w:rsid w:val="00B726BD"/>
    <w:rsid w:val="00B732BC"/>
    <w:rsid w:val="00B90E33"/>
    <w:rsid w:val="00B9676B"/>
    <w:rsid w:val="00BA2EA5"/>
    <w:rsid w:val="00BA364B"/>
    <w:rsid w:val="00BB1190"/>
    <w:rsid w:val="00BB31D0"/>
    <w:rsid w:val="00BB3A11"/>
    <w:rsid w:val="00BB49D7"/>
    <w:rsid w:val="00BB4DDB"/>
    <w:rsid w:val="00BB5D79"/>
    <w:rsid w:val="00BB5F02"/>
    <w:rsid w:val="00BC2F36"/>
    <w:rsid w:val="00BC7892"/>
    <w:rsid w:val="00BE24D6"/>
    <w:rsid w:val="00BE7EFA"/>
    <w:rsid w:val="00BF06AD"/>
    <w:rsid w:val="00BF2C67"/>
    <w:rsid w:val="00C04F4D"/>
    <w:rsid w:val="00C12E48"/>
    <w:rsid w:val="00C13D14"/>
    <w:rsid w:val="00C15F53"/>
    <w:rsid w:val="00C23F09"/>
    <w:rsid w:val="00C25356"/>
    <w:rsid w:val="00C328D0"/>
    <w:rsid w:val="00C33C2A"/>
    <w:rsid w:val="00C46BC1"/>
    <w:rsid w:val="00C5235F"/>
    <w:rsid w:val="00C54CE2"/>
    <w:rsid w:val="00C66BF3"/>
    <w:rsid w:val="00C70140"/>
    <w:rsid w:val="00C73CA7"/>
    <w:rsid w:val="00C822F6"/>
    <w:rsid w:val="00C82AC2"/>
    <w:rsid w:val="00C83A8E"/>
    <w:rsid w:val="00C8456C"/>
    <w:rsid w:val="00C91E19"/>
    <w:rsid w:val="00C92402"/>
    <w:rsid w:val="00C92867"/>
    <w:rsid w:val="00C93B93"/>
    <w:rsid w:val="00C96ED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3B6"/>
    <w:rsid w:val="00D16561"/>
    <w:rsid w:val="00D17FF8"/>
    <w:rsid w:val="00D268AC"/>
    <w:rsid w:val="00D27FF3"/>
    <w:rsid w:val="00D343D0"/>
    <w:rsid w:val="00D3664D"/>
    <w:rsid w:val="00D423BA"/>
    <w:rsid w:val="00D500E9"/>
    <w:rsid w:val="00D507BC"/>
    <w:rsid w:val="00D6090A"/>
    <w:rsid w:val="00D62FA3"/>
    <w:rsid w:val="00D630EE"/>
    <w:rsid w:val="00D63B6F"/>
    <w:rsid w:val="00D64A90"/>
    <w:rsid w:val="00D91A0C"/>
    <w:rsid w:val="00D9410B"/>
    <w:rsid w:val="00D9695B"/>
    <w:rsid w:val="00DA2417"/>
    <w:rsid w:val="00DA5585"/>
    <w:rsid w:val="00DB02AC"/>
    <w:rsid w:val="00DB6AA2"/>
    <w:rsid w:val="00DC038C"/>
    <w:rsid w:val="00DC2494"/>
    <w:rsid w:val="00DC5F6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C06"/>
    <w:rsid w:val="00E7144F"/>
    <w:rsid w:val="00E73D74"/>
    <w:rsid w:val="00E76A79"/>
    <w:rsid w:val="00E80692"/>
    <w:rsid w:val="00E80C24"/>
    <w:rsid w:val="00E93836"/>
    <w:rsid w:val="00EA7C16"/>
    <w:rsid w:val="00EB3F71"/>
    <w:rsid w:val="00EC5281"/>
    <w:rsid w:val="00EC791D"/>
    <w:rsid w:val="00EC7CA6"/>
    <w:rsid w:val="00ED3C5D"/>
    <w:rsid w:val="00ED4553"/>
    <w:rsid w:val="00F00D08"/>
    <w:rsid w:val="00F15583"/>
    <w:rsid w:val="00F200EE"/>
    <w:rsid w:val="00F22481"/>
    <w:rsid w:val="00F2542E"/>
    <w:rsid w:val="00F27278"/>
    <w:rsid w:val="00F344E3"/>
    <w:rsid w:val="00F34D58"/>
    <w:rsid w:val="00F367B0"/>
    <w:rsid w:val="00F41A9D"/>
    <w:rsid w:val="00F44314"/>
    <w:rsid w:val="00F44AB4"/>
    <w:rsid w:val="00F44B3C"/>
    <w:rsid w:val="00F54B9C"/>
    <w:rsid w:val="00F56E96"/>
    <w:rsid w:val="00F573DD"/>
    <w:rsid w:val="00F60AAD"/>
    <w:rsid w:val="00F61E59"/>
    <w:rsid w:val="00F625B9"/>
    <w:rsid w:val="00F63D99"/>
    <w:rsid w:val="00F6426B"/>
    <w:rsid w:val="00F709B3"/>
    <w:rsid w:val="00F71A5E"/>
    <w:rsid w:val="00F969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59D7D5-6E9A-4E01-A108-DD12AC03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038C"/>
  </w:style>
  <w:style w:type="paragraph" w:styleId="BalloonText">
    <w:name w:val="Balloon Text"/>
    <w:basedOn w:val="Normal"/>
    <w:link w:val="BalloonTextChar"/>
    <w:semiHidden/>
    <w:unhideWhenUsed/>
    <w:rsid w:val="004C5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8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1909</Words>
  <Characters>10545</Characters>
  <Application>Microsoft Office Word</Application>
  <DocSecurity>0</DocSecurity>
  <Lines>239</Lines>
  <Paragraphs>57</Paragraphs>
  <ScaleCrop>false</ScaleCrop>
  <HeadingPairs>
    <vt:vector size="2" baseType="variant">
      <vt:variant>
        <vt:lpstr>Title</vt:lpstr>
      </vt:variant>
      <vt:variant>
        <vt:i4>1</vt:i4>
      </vt:variant>
    </vt:vector>
  </HeadingPairs>
  <TitlesOfParts>
    <vt:vector size="1" baseType="lpstr">
      <vt:lpstr>S3003 1R</vt:lpstr>
    </vt:vector>
  </TitlesOfParts>
  <Manager>R230</Manager>
  <Company>NJ Office of Legislative Services</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S3003 1R</dc:title>
  <dc:subject>Unemployment Compensation</dc:subject>
  <dc:creator>Senator  MADDEN</dc:creator>
  <cp:keywords>S3003|6|CL |84|260|314|!|0|</cp:keywords>
  <dc:description>INTRODUCED OCTOBER 8, 2020_x000d_
AMENDED NOVEMBER 16,2020</dc:description>
  <cp:lastModifiedBy>Todaro, Vivian</cp:lastModifiedBy>
  <cp:revision>2</cp:revision>
  <cp:lastPrinted>2021-03-02T17:54:00Z</cp:lastPrinted>
  <dcterms:created xsi:type="dcterms:W3CDTF">2021-03-02T17:54:00Z</dcterms:created>
  <dcterms:modified xsi:type="dcterms:W3CDTF">2021-03-02T17:54:00Z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