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83DE3" w:rsidP="00407C9E">
      <w:pPr>
        <w:pStyle w:val="NoteOrEstimate"/>
      </w:pPr>
      <w:r>
        <w:t>LEGISLATIVE FISCAL ESTIMATE</w:t>
      </w:r>
    </w:p>
    <w:p w:rsidR="003C5892" w:rsidRDefault="00683DE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3011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30439" w:rsidP="00B30439">
      <w:pPr>
        <w:pStyle w:val="BillNo"/>
      </w:pPr>
      <w:r>
        <w:t>219th LEGISLATURE</w:t>
      </w:r>
    </w:p>
    <w:p w:rsidR="00353325" w:rsidRDefault="00353325" w:rsidP="00353325"/>
    <w:p w:rsidR="00B30439" w:rsidRDefault="00B30439" w:rsidP="00B30439">
      <w:pPr>
        <w:jc w:val="center"/>
      </w:pPr>
      <w:r>
        <w:t>DATED: NOVEMBER 17, 2020</w:t>
      </w:r>
    </w:p>
    <w:p w:rsidR="00B30439" w:rsidRDefault="00B30439" w:rsidP="00353325"/>
    <w:p w:rsidR="00B30439" w:rsidRDefault="00B3043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p w:rsidR="00DD3538" w:rsidRDefault="00DD3538" w:rsidP="00DD353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DD3538" w:rsidTr="0063793E">
        <w:trPr>
          <w:trHeight w:val="576"/>
        </w:trPr>
        <w:tc>
          <w:tcPr>
            <w:tcW w:w="2333" w:type="dxa"/>
          </w:tcPr>
          <w:p w:rsidR="00DD3538" w:rsidRPr="003C5892" w:rsidRDefault="00DD3538" w:rsidP="0063793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D3538" w:rsidRDefault="00DD3538" w:rsidP="0063793E">
            <w:r>
              <w:t>Reduces or delays increases in employer unemployment taxes related to benefits paid during coronavirus disease 2019 pandemic state of emergency.</w:t>
            </w:r>
          </w:p>
        </w:tc>
      </w:tr>
      <w:tr w:rsidR="00DD3538" w:rsidTr="0063793E">
        <w:trPr>
          <w:trHeight w:val="576"/>
        </w:trPr>
        <w:tc>
          <w:tcPr>
            <w:tcW w:w="2333" w:type="dxa"/>
          </w:tcPr>
          <w:p w:rsidR="00DD3538" w:rsidRPr="003C5892" w:rsidRDefault="00DD3538" w:rsidP="0063793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D3538" w:rsidRDefault="00DD3538" w:rsidP="0063793E">
            <w:r>
              <w:t>Multi-year decrease in revenue collections to the Unemployment Insurance Compensation Fund.  Multi-year</w:t>
            </w:r>
            <w:r w:rsidRPr="000D1D5E">
              <w:t xml:space="preserve"> cost savings to the State, public institutions of higher education, local </w:t>
            </w:r>
            <w:r>
              <w:t>governments</w:t>
            </w:r>
            <w:r w:rsidRPr="000D1D5E">
              <w:t>, and school districts</w:t>
            </w:r>
            <w:r>
              <w:t>.</w:t>
            </w:r>
          </w:p>
        </w:tc>
      </w:tr>
      <w:tr w:rsidR="00DD3538" w:rsidTr="0063793E">
        <w:trPr>
          <w:trHeight w:val="576"/>
        </w:trPr>
        <w:tc>
          <w:tcPr>
            <w:tcW w:w="2333" w:type="dxa"/>
          </w:tcPr>
          <w:p w:rsidR="00DD3538" w:rsidRPr="003C5892" w:rsidRDefault="00DD3538" w:rsidP="0063793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D3538" w:rsidRDefault="00DD3538" w:rsidP="0063793E">
            <w:r w:rsidRPr="00AA4BD8">
              <w:t>Potentially all State entities, local governments,</w:t>
            </w:r>
            <w:r>
              <w:t xml:space="preserve"> institutions of higher education,</w:t>
            </w:r>
            <w:r w:rsidRPr="00AA4BD8">
              <w:t xml:space="preserve"> and school districts</w:t>
            </w:r>
            <w:r>
              <w:t>; Department of Labor and Workforce Development.</w:t>
            </w:r>
          </w:p>
        </w:tc>
      </w:tr>
    </w:tbl>
    <w:p w:rsidR="00DD3538" w:rsidRDefault="00DD3538" w:rsidP="00DD3538">
      <w:pPr>
        <w:tabs>
          <w:tab w:val="left" w:pos="360"/>
          <w:tab w:val="left" w:pos="720"/>
          <w:tab w:val="left" w:pos="1440"/>
          <w:tab w:val="left" w:pos="2160"/>
          <w:tab w:val="left" w:pos="2880"/>
          <w:tab w:val="left" w:pos="3600"/>
          <w:tab w:val="left" w:pos="4320"/>
          <w:tab w:val="left" w:pos="5040"/>
        </w:tabs>
      </w:pPr>
    </w:p>
    <w:p w:rsidR="00DD3538" w:rsidRDefault="00DD3538" w:rsidP="00DD3538">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510"/>
        <w:gridCol w:w="1980"/>
        <w:gridCol w:w="2160"/>
        <w:gridCol w:w="1710"/>
        <w:gridCol w:w="15"/>
      </w:tblGrid>
      <w:tr w:rsidR="00DD3538" w:rsidTr="0063793E">
        <w:trPr>
          <w:trHeight w:val="410"/>
        </w:trPr>
        <w:tc>
          <w:tcPr>
            <w:tcW w:w="9375" w:type="dxa"/>
            <w:gridSpan w:val="5"/>
            <w:tcBorders>
              <w:top w:val="nil"/>
              <w:left w:val="nil"/>
              <w:bottom w:val="nil"/>
              <w:right w:val="nil"/>
            </w:tcBorders>
            <w:vAlign w:val="bottom"/>
          </w:tcPr>
          <w:p w:rsidR="00DD3538" w:rsidRPr="00F11982" w:rsidRDefault="00DD3538" w:rsidP="0063793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D3538" w:rsidTr="0063793E">
        <w:trPr>
          <w:gridAfter w:val="1"/>
          <w:wAfter w:w="15" w:type="dxa"/>
          <w:trHeight w:val="410"/>
        </w:trPr>
        <w:tc>
          <w:tcPr>
            <w:tcW w:w="3510" w:type="dxa"/>
            <w:tcBorders>
              <w:top w:val="single" w:sz="6" w:space="0" w:color="auto"/>
              <w:left w:val="single" w:sz="6" w:space="0" w:color="auto"/>
              <w:bottom w:val="single" w:sz="12" w:space="0" w:color="auto"/>
              <w:right w:val="nil"/>
            </w:tcBorders>
            <w:shd w:val="pct20" w:color="auto" w:fill="auto"/>
            <w:vAlign w:val="bottom"/>
          </w:tcPr>
          <w:p w:rsidR="00DD3538" w:rsidRPr="00F11982" w:rsidRDefault="00DD3538" w:rsidP="0063793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DD3538" w:rsidRPr="00F11982" w:rsidRDefault="00DD3538" w:rsidP="0063793E">
            <w:pPr>
              <w:tabs>
                <w:tab w:val="left" w:pos="360"/>
                <w:tab w:val="left" w:pos="720"/>
                <w:tab w:val="left" w:pos="1440"/>
                <w:tab w:val="left" w:pos="2160"/>
                <w:tab w:val="left" w:pos="2880"/>
                <w:tab w:val="left" w:pos="3600"/>
                <w:tab w:val="left" w:pos="4320"/>
                <w:tab w:val="left" w:pos="5040"/>
              </w:tabs>
              <w:jc w:val="center"/>
              <w:rPr>
                <w:b/>
              </w:rPr>
            </w:pPr>
            <w:r>
              <w:rPr>
                <w:b/>
                <w:u w:val="single"/>
              </w:rPr>
              <w:t>FY 2022</w:t>
            </w:r>
            <w:r w:rsidRPr="00F11982">
              <w:rPr>
                <w:b/>
              </w:rPr>
              <w:t xml:space="preserve">  </w:t>
            </w:r>
          </w:p>
        </w:tc>
        <w:tc>
          <w:tcPr>
            <w:tcW w:w="2160" w:type="dxa"/>
            <w:tcBorders>
              <w:top w:val="single" w:sz="6" w:space="0" w:color="auto"/>
              <w:left w:val="nil"/>
              <w:bottom w:val="single" w:sz="12" w:space="0" w:color="auto"/>
              <w:right w:val="nil"/>
            </w:tcBorders>
            <w:shd w:val="pct20" w:color="auto" w:fill="auto"/>
            <w:vAlign w:val="bottom"/>
          </w:tcPr>
          <w:p w:rsidR="00DD3538" w:rsidRPr="00F11982" w:rsidRDefault="00DD3538" w:rsidP="0063793E">
            <w:pPr>
              <w:tabs>
                <w:tab w:val="left" w:pos="360"/>
                <w:tab w:val="left" w:pos="720"/>
                <w:tab w:val="left" w:pos="1440"/>
                <w:tab w:val="left" w:pos="2160"/>
                <w:tab w:val="left" w:pos="2880"/>
                <w:tab w:val="left" w:pos="3600"/>
                <w:tab w:val="left" w:pos="4320"/>
                <w:tab w:val="left" w:pos="5040"/>
              </w:tabs>
              <w:jc w:val="center"/>
              <w:rPr>
                <w:b/>
              </w:rPr>
            </w:pPr>
            <w:r>
              <w:rPr>
                <w:b/>
                <w:u w:val="single"/>
              </w:rPr>
              <w:t>FY 2023</w:t>
            </w:r>
            <w:r w:rsidRPr="00F11982">
              <w:rPr>
                <w:b/>
              </w:rPr>
              <w:t xml:space="preserve">  </w:t>
            </w:r>
          </w:p>
        </w:tc>
        <w:tc>
          <w:tcPr>
            <w:tcW w:w="1710" w:type="dxa"/>
            <w:tcBorders>
              <w:top w:val="single" w:sz="6" w:space="0" w:color="auto"/>
              <w:left w:val="nil"/>
              <w:bottom w:val="single" w:sz="12" w:space="0" w:color="auto"/>
              <w:right w:val="single" w:sz="6" w:space="0" w:color="auto"/>
            </w:tcBorders>
            <w:shd w:val="pct20" w:color="auto" w:fill="auto"/>
            <w:vAlign w:val="bottom"/>
          </w:tcPr>
          <w:p w:rsidR="00DD3538" w:rsidRPr="00F11982" w:rsidRDefault="00DD3538" w:rsidP="0063793E">
            <w:pPr>
              <w:tabs>
                <w:tab w:val="left" w:pos="360"/>
                <w:tab w:val="left" w:pos="720"/>
                <w:tab w:val="left" w:pos="1440"/>
                <w:tab w:val="left" w:pos="2160"/>
                <w:tab w:val="left" w:pos="2880"/>
                <w:tab w:val="left" w:pos="3600"/>
                <w:tab w:val="left" w:pos="4320"/>
                <w:tab w:val="left" w:pos="5040"/>
              </w:tabs>
              <w:jc w:val="center"/>
              <w:rPr>
                <w:b/>
              </w:rPr>
            </w:pPr>
            <w:r>
              <w:rPr>
                <w:b/>
              </w:rPr>
              <w:t>FY 2024</w:t>
            </w:r>
            <w:r w:rsidRPr="00F11982">
              <w:rPr>
                <w:b/>
              </w:rPr>
              <w:t xml:space="preserve">  </w:t>
            </w:r>
          </w:p>
        </w:tc>
      </w:tr>
      <w:tr w:rsidR="00DD3538" w:rsidTr="0063793E">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DD3538" w:rsidRPr="00F11982" w:rsidRDefault="00DD3538" w:rsidP="0063793E">
            <w:pPr>
              <w:tabs>
                <w:tab w:val="left" w:pos="360"/>
                <w:tab w:val="left" w:pos="720"/>
                <w:tab w:val="left" w:pos="1440"/>
                <w:tab w:val="left" w:pos="2160"/>
                <w:tab w:val="left" w:pos="2880"/>
                <w:tab w:val="left" w:pos="3600"/>
                <w:tab w:val="left" w:pos="4320"/>
                <w:tab w:val="left" w:pos="5040"/>
              </w:tabs>
              <w:jc w:val="left"/>
              <w:rPr>
                <w:b/>
              </w:rPr>
            </w:pPr>
            <w:r>
              <w:rPr>
                <w:b/>
              </w:rPr>
              <w:t>Revenue Decrease- Unemployment Insurance Compensation Fund</w:t>
            </w:r>
          </w:p>
        </w:tc>
        <w:tc>
          <w:tcPr>
            <w:tcW w:w="1980" w:type="dxa"/>
            <w:tcBorders>
              <w:top w:val="nil"/>
              <w:left w:val="nil"/>
              <w:bottom w:val="nil"/>
              <w:right w:val="nil"/>
            </w:tcBorders>
            <w:tcMar>
              <w:bottom w:w="29" w:type="dxa"/>
            </w:tcMar>
            <w:vAlign w:val="bottom"/>
          </w:tcPr>
          <w:p w:rsidR="00DD3538" w:rsidRDefault="00DD3538" w:rsidP="0063793E">
            <w:pPr>
              <w:tabs>
                <w:tab w:val="left" w:pos="360"/>
                <w:tab w:val="left" w:pos="720"/>
                <w:tab w:val="left" w:pos="1440"/>
                <w:tab w:val="left" w:pos="2160"/>
                <w:tab w:val="left" w:pos="2880"/>
                <w:tab w:val="left" w:pos="3600"/>
                <w:tab w:val="left" w:pos="4320"/>
                <w:tab w:val="left" w:pos="5040"/>
              </w:tabs>
              <w:jc w:val="center"/>
            </w:pPr>
            <w:r>
              <w:t>At Least $660 Million</w:t>
            </w:r>
          </w:p>
        </w:tc>
        <w:tc>
          <w:tcPr>
            <w:tcW w:w="2160" w:type="dxa"/>
            <w:tcBorders>
              <w:top w:val="nil"/>
              <w:left w:val="nil"/>
              <w:bottom w:val="nil"/>
              <w:right w:val="nil"/>
            </w:tcBorders>
            <w:tcMar>
              <w:bottom w:w="29" w:type="dxa"/>
            </w:tcMar>
            <w:vAlign w:val="bottom"/>
          </w:tcPr>
          <w:p w:rsidR="00DD3538" w:rsidRDefault="00DD3538" w:rsidP="0063793E">
            <w:pPr>
              <w:tabs>
                <w:tab w:val="left" w:pos="360"/>
                <w:tab w:val="left" w:pos="720"/>
                <w:tab w:val="left" w:pos="1440"/>
                <w:tab w:val="left" w:pos="2160"/>
                <w:tab w:val="left" w:pos="2880"/>
                <w:tab w:val="left" w:pos="3600"/>
                <w:tab w:val="left" w:pos="4320"/>
                <w:tab w:val="left" w:pos="5040"/>
              </w:tabs>
              <w:jc w:val="center"/>
            </w:pPr>
            <w:r>
              <w:t>At Least $450 Million</w:t>
            </w:r>
          </w:p>
        </w:tc>
        <w:tc>
          <w:tcPr>
            <w:tcW w:w="1710" w:type="dxa"/>
            <w:tcBorders>
              <w:top w:val="nil"/>
              <w:left w:val="nil"/>
              <w:bottom w:val="nil"/>
              <w:right w:val="single" w:sz="6" w:space="0" w:color="auto"/>
            </w:tcBorders>
            <w:tcMar>
              <w:bottom w:w="29" w:type="dxa"/>
            </w:tcMar>
            <w:vAlign w:val="bottom"/>
          </w:tcPr>
          <w:p w:rsidR="00DD3538" w:rsidRDefault="00DD3538" w:rsidP="0063793E">
            <w:pPr>
              <w:tabs>
                <w:tab w:val="left" w:pos="360"/>
                <w:tab w:val="left" w:pos="720"/>
                <w:tab w:val="left" w:pos="1440"/>
                <w:tab w:val="left" w:pos="2160"/>
                <w:tab w:val="left" w:pos="2880"/>
                <w:tab w:val="left" w:pos="3600"/>
                <w:tab w:val="left" w:pos="4320"/>
                <w:tab w:val="left" w:pos="5040"/>
              </w:tabs>
              <w:jc w:val="center"/>
            </w:pPr>
            <w:r>
              <w:t>At Least $230 Million</w:t>
            </w:r>
          </w:p>
        </w:tc>
      </w:tr>
      <w:tr w:rsidR="00DD3538" w:rsidTr="0063793E">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DD3538" w:rsidRPr="00F11982" w:rsidRDefault="00DD3538" w:rsidP="0063793E">
            <w:pPr>
              <w:tabs>
                <w:tab w:val="left" w:pos="360"/>
                <w:tab w:val="left" w:pos="720"/>
                <w:tab w:val="left" w:pos="1440"/>
                <w:tab w:val="left" w:pos="2160"/>
                <w:tab w:val="left" w:pos="2880"/>
                <w:tab w:val="left" w:pos="3600"/>
                <w:tab w:val="left" w:pos="4320"/>
                <w:tab w:val="left" w:pos="5040"/>
              </w:tabs>
              <w:rPr>
                <w:b/>
              </w:rPr>
            </w:pPr>
          </w:p>
        </w:tc>
        <w:tc>
          <w:tcPr>
            <w:tcW w:w="1980" w:type="dxa"/>
            <w:tcBorders>
              <w:top w:val="nil"/>
              <w:left w:val="nil"/>
              <w:bottom w:val="nil"/>
              <w:right w:val="nil"/>
            </w:tcBorders>
            <w:tcMar>
              <w:bottom w:w="29" w:type="dxa"/>
            </w:tcMar>
            <w:vAlign w:val="bottom"/>
          </w:tcPr>
          <w:p w:rsidR="00DD3538" w:rsidRDefault="00DD3538" w:rsidP="0063793E">
            <w:pPr>
              <w:tabs>
                <w:tab w:val="left" w:pos="360"/>
                <w:tab w:val="left" w:pos="720"/>
                <w:tab w:val="left" w:pos="1440"/>
                <w:tab w:val="left" w:pos="2160"/>
                <w:tab w:val="left" w:pos="2880"/>
                <w:tab w:val="left" w:pos="3600"/>
                <w:tab w:val="left" w:pos="4320"/>
                <w:tab w:val="left" w:pos="5040"/>
              </w:tabs>
              <w:jc w:val="center"/>
            </w:pPr>
          </w:p>
        </w:tc>
        <w:tc>
          <w:tcPr>
            <w:tcW w:w="2160" w:type="dxa"/>
            <w:tcBorders>
              <w:top w:val="nil"/>
              <w:left w:val="nil"/>
              <w:bottom w:val="nil"/>
              <w:right w:val="nil"/>
            </w:tcBorders>
            <w:tcMar>
              <w:bottom w:w="29" w:type="dxa"/>
            </w:tcMar>
            <w:vAlign w:val="bottom"/>
          </w:tcPr>
          <w:p w:rsidR="00DD3538" w:rsidRDefault="00DD3538" w:rsidP="0063793E">
            <w:pPr>
              <w:tabs>
                <w:tab w:val="left" w:pos="360"/>
                <w:tab w:val="left" w:pos="720"/>
                <w:tab w:val="left" w:pos="1440"/>
                <w:tab w:val="left" w:pos="2160"/>
                <w:tab w:val="left" w:pos="2880"/>
                <w:tab w:val="left" w:pos="3600"/>
                <w:tab w:val="left" w:pos="4320"/>
                <w:tab w:val="left" w:pos="5040"/>
              </w:tabs>
              <w:jc w:val="center"/>
            </w:pPr>
          </w:p>
        </w:tc>
        <w:tc>
          <w:tcPr>
            <w:tcW w:w="1710" w:type="dxa"/>
            <w:tcBorders>
              <w:top w:val="nil"/>
              <w:left w:val="nil"/>
              <w:bottom w:val="nil"/>
              <w:right w:val="single" w:sz="6" w:space="0" w:color="auto"/>
            </w:tcBorders>
            <w:tcMar>
              <w:bottom w:w="29" w:type="dxa"/>
            </w:tcMar>
            <w:vAlign w:val="bottom"/>
          </w:tcPr>
          <w:p w:rsidR="00DD3538" w:rsidRDefault="00DD3538" w:rsidP="0063793E">
            <w:pPr>
              <w:tabs>
                <w:tab w:val="left" w:pos="360"/>
                <w:tab w:val="left" w:pos="720"/>
                <w:tab w:val="left" w:pos="1440"/>
                <w:tab w:val="left" w:pos="2160"/>
                <w:tab w:val="left" w:pos="2880"/>
                <w:tab w:val="left" w:pos="3600"/>
                <w:tab w:val="left" w:pos="4320"/>
                <w:tab w:val="left" w:pos="5040"/>
              </w:tabs>
              <w:jc w:val="center"/>
            </w:pPr>
          </w:p>
        </w:tc>
      </w:tr>
      <w:tr w:rsidR="00DD3538" w:rsidTr="0063793E">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DD3538" w:rsidRPr="00F11982" w:rsidRDefault="00DD3538" w:rsidP="006F52A1">
            <w:pPr>
              <w:tabs>
                <w:tab w:val="left" w:pos="360"/>
                <w:tab w:val="left" w:pos="720"/>
                <w:tab w:val="left" w:pos="1440"/>
                <w:tab w:val="left" w:pos="2160"/>
                <w:tab w:val="left" w:pos="2880"/>
                <w:tab w:val="left" w:pos="3600"/>
                <w:tab w:val="left" w:pos="4320"/>
                <w:tab w:val="left" w:pos="5040"/>
              </w:tabs>
              <w:jc w:val="left"/>
              <w:rPr>
                <w:b/>
              </w:rPr>
            </w:pPr>
            <w:r>
              <w:rPr>
                <w:b/>
              </w:rPr>
              <w:t>Cost Savings-</w:t>
            </w:r>
            <w:r w:rsidRPr="00340973">
              <w:rPr>
                <w:b/>
              </w:rPr>
              <w:t>State entities, Public Institutions of Higher Education, Local Governments, and School Districts</w:t>
            </w:r>
          </w:p>
        </w:tc>
        <w:tc>
          <w:tcPr>
            <w:tcW w:w="1980" w:type="dxa"/>
            <w:tcBorders>
              <w:top w:val="nil"/>
              <w:left w:val="nil"/>
              <w:bottom w:val="nil"/>
              <w:right w:val="nil"/>
            </w:tcBorders>
            <w:tcMar>
              <w:bottom w:w="29" w:type="dxa"/>
            </w:tcMar>
            <w:vAlign w:val="bottom"/>
          </w:tcPr>
          <w:p w:rsidR="00DD3538" w:rsidRDefault="00DD3538" w:rsidP="0063793E">
            <w:pPr>
              <w:tabs>
                <w:tab w:val="left" w:pos="360"/>
                <w:tab w:val="left" w:pos="720"/>
                <w:tab w:val="left" w:pos="1440"/>
                <w:tab w:val="left" w:pos="2160"/>
                <w:tab w:val="left" w:pos="2880"/>
                <w:tab w:val="left" w:pos="3600"/>
                <w:tab w:val="left" w:pos="4320"/>
                <w:tab w:val="left" w:pos="5040"/>
              </w:tabs>
              <w:jc w:val="center"/>
            </w:pPr>
            <w:r>
              <w:t>Indeterminate</w:t>
            </w:r>
          </w:p>
        </w:tc>
        <w:tc>
          <w:tcPr>
            <w:tcW w:w="2160" w:type="dxa"/>
            <w:tcBorders>
              <w:top w:val="nil"/>
              <w:left w:val="nil"/>
              <w:bottom w:val="nil"/>
              <w:right w:val="nil"/>
            </w:tcBorders>
            <w:tcMar>
              <w:bottom w:w="29" w:type="dxa"/>
            </w:tcMar>
            <w:vAlign w:val="bottom"/>
          </w:tcPr>
          <w:p w:rsidR="00DD3538" w:rsidRDefault="00DD3538" w:rsidP="0063793E">
            <w:pPr>
              <w:tabs>
                <w:tab w:val="left" w:pos="360"/>
                <w:tab w:val="left" w:pos="720"/>
                <w:tab w:val="left" w:pos="1440"/>
                <w:tab w:val="left" w:pos="2160"/>
                <w:tab w:val="left" w:pos="2880"/>
                <w:tab w:val="left" w:pos="3600"/>
                <w:tab w:val="left" w:pos="4320"/>
                <w:tab w:val="left" w:pos="5040"/>
              </w:tabs>
              <w:jc w:val="center"/>
            </w:pPr>
            <w:r>
              <w:t>Indeterminate</w:t>
            </w:r>
          </w:p>
        </w:tc>
        <w:tc>
          <w:tcPr>
            <w:tcW w:w="1710" w:type="dxa"/>
            <w:tcBorders>
              <w:top w:val="nil"/>
              <w:left w:val="nil"/>
              <w:bottom w:val="nil"/>
              <w:right w:val="single" w:sz="6" w:space="0" w:color="auto"/>
            </w:tcBorders>
            <w:tcMar>
              <w:bottom w:w="29" w:type="dxa"/>
            </w:tcMar>
            <w:vAlign w:val="bottom"/>
          </w:tcPr>
          <w:p w:rsidR="00DD3538" w:rsidRDefault="00DD3538" w:rsidP="0063793E">
            <w:pPr>
              <w:tabs>
                <w:tab w:val="left" w:pos="360"/>
                <w:tab w:val="left" w:pos="720"/>
                <w:tab w:val="left" w:pos="1440"/>
                <w:tab w:val="left" w:pos="2160"/>
                <w:tab w:val="left" w:pos="2880"/>
                <w:tab w:val="left" w:pos="3600"/>
                <w:tab w:val="left" w:pos="4320"/>
                <w:tab w:val="left" w:pos="5040"/>
              </w:tabs>
              <w:jc w:val="center"/>
            </w:pPr>
            <w:r>
              <w:t>Indeterminate</w:t>
            </w:r>
          </w:p>
        </w:tc>
      </w:tr>
      <w:tr w:rsidR="00DD3538" w:rsidTr="0063793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D3538" w:rsidRDefault="00DD3538" w:rsidP="0063793E">
            <w:pPr>
              <w:tabs>
                <w:tab w:val="left" w:pos="360"/>
                <w:tab w:val="left" w:pos="720"/>
                <w:tab w:val="left" w:pos="1440"/>
                <w:tab w:val="left" w:pos="2160"/>
                <w:tab w:val="left" w:pos="2880"/>
                <w:tab w:val="left" w:pos="3600"/>
                <w:tab w:val="left" w:pos="4320"/>
                <w:tab w:val="left" w:pos="5040"/>
              </w:tabs>
              <w:jc w:val="center"/>
            </w:pPr>
          </w:p>
        </w:tc>
      </w:tr>
    </w:tbl>
    <w:p w:rsidR="00DD3538" w:rsidRDefault="00DD3538" w:rsidP="00DD3538">
      <w:pPr>
        <w:tabs>
          <w:tab w:val="left" w:pos="360"/>
          <w:tab w:val="left" w:pos="720"/>
          <w:tab w:val="left" w:pos="1440"/>
          <w:tab w:val="left" w:pos="2160"/>
          <w:tab w:val="left" w:pos="2880"/>
          <w:tab w:val="left" w:pos="3600"/>
          <w:tab w:val="left" w:pos="4320"/>
          <w:tab w:val="left" w:pos="5040"/>
        </w:tabs>
      </w:pPr>
    </w:p>
    <w:p w:rsidR="00DD3538" w:rsidRDefault="00DD3538" w:rsidP="00DD3538">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bill will reduce revenues to the Unemployment Insurance (UI) Compensation Fund by at least $660 million in FY 2022, $450 million in FY 2023, and $230 million in FY 2024 relative to amounts that would have been collected from employers based on the fund’s reserve ratio and statutory funding formula.  Beginning in FY 2025, employer contribution rates will return to their statutory levels and remain in place until the UI fund is replenished and federal loans are repaid.</w:t>
      </w:r>
    </w:p>
    <w:p w:rsidR="00DD3538" w:rsidRDefault="00DD3538" w:rsidP="00DD353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DD3538" w:rsidRDefault="00DD3538" w:rsidP="00DD3538">
      <w:pPr>
        <w:pStyle w:val="StyleBulletedSymbolsymbol"/>
        <w:tabs>
          <w:tab w:val="left" w:pos="360"/>
          <w:tab w:val="left" w:pos="720"/>
          <w:tab w:val="left" w:pos="1440"/>
          <w:tab w:val="left" w:pos="2160"/>
          <w:tab w:val="left" w:pos="2880"/>
          <w:tab w:val="left" w:pos="3600"/>
          <w:tab w:val="left" w:pos="4320"/>
          <w:tab w:val="left" w:pos="5040"/>
        </w:tabs>
        <w:spacing w:after="0"/>
      </w:pPr>
      <w:r>
        <w:t>By providing</w:t>
      </w:r>
      <w:r w:rsidRPr="00C43398">
        <w:t xml:space="preserve"> that all </w:t>
      </w:r>
      <w:r>
        <w:t>UI benefits paid during the</w:t>
      </w:r>
      <w:r w:rsidRPr="00391804">
        <w:rPr>
          <w:sz w:val="23"/>
          <w:szCs w:val="23"/>
        </w:rPr>
        <w:t xml:space="preserve"> </w:t>
      </w:r>
      <w:r>
        <w:rPr>
          <w:sz w:val="23"/>
          <w:szCs w:val="23"/>
        </w:rPr>
        <w:t>Covid-19</w:t>
      </w:r>
      <w:r w:rsidRPr="00391804">
        <w:rPr>
          <w:sz w:val="23"/>
          <w:szCs w:val="23"/>
        </w:rPr>
        <w:t xml:space="preserve"> state of emergency </w:t>
      </w:r>
      <w:r>
        <w:t>will be excluded when calculating an</w:t>
      </w:r>
      <w:r w:rsidRPr="00C43398">
        <w:t xml:space="preserve"> individual employer</w:t>
      </w:r>
      <w:r>
        <w:t>’s</w:t>
      </w:r>
      <w:r w:rsidRPr="00C43398">
        <w:t xml:space="preserve"> reserve ratio,</w:t>
      </w:r>
      <w:r>
        <w:t xml:space="preserve"> the bill will result in further, </w:t>
      </w:r>
      <w:r>
        <w:lastRenderedPageBreak/>
        <w:t>potentially significant, decreases in revenues to the UI fund on top of the amounts enumerated above.</w:t>
      </w:r>
    </w:p>
    <w:p w:rsidR="00DD3538" w:rsidRDefault="00DD3538" w:rsidP="00DD353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DD3538" w:rsidRPr="007A5BEE" w:rsidRDefault="00DD3538" w:rsidP="00DD3538">
      <w:pPr>
        <w:pStyle w:val="StyleBulletedSymbolsymbol"/>
        <w:spacing w:after="0"/>
      </w:pPr>
      <w:r>
        <w:t>This bill may result in cost savings to potentially all State entities, public institutions of higher education, local governments, and school districts tied to the reduced liabilities</w:t>
      </w:r>
      <w:r>
        <w:rPr>
          <w:sz w:val="23"/>
          <w:szCs w:val="23"/>
        </w:rPr>
        <w:t xml:space="preserve"> to the UI fund for those entities that choose to not make</w:t>
      </w:r>
      <w:r w:rsidRPr="0001328C">
        <w:rPr>
          <w:sz w:val="23"/>
          <w:szCs w:val="23"/>
        </w:rPr>
        <w:t xml:space="preserve"> contributio</w:t>
      </w:r>
      <w:r>
        <w:rPr>
          <w:sz w:val="23"/>
          <w:szCs w:val="23"/>
        </w:rPr>
        <w:t>ns to the UI</w:t>
      </w:r>
      <w:r w:rsidRPr="0001328C">
        <w:rPr>
          <w:sz w:val="23"/>
          <w:szCs w:val="23"/>
        </w:rPr>
        <w:t xml:space="preserve"> fund on</w:t>
      </w:r>
      <w:r>
        <w:rPr>
          <w:sz w:val="23"/>
          <w:szCs w:val="23"/>
        </w:rPr>
        <w:t xml:space="preserve"> an</w:t>
      </w:r>
      <w:r w:rsidRPr="0001328C">
        <w:rPr>
          <w:sz w:val="23"/>
          <w:szCs w:val="23"/>
        </w:rPr>
        <w:t xml:space="preserve"> annual basis but</w:t>
      </w:r>
      <w:r>
        <w:rPr>
          <w:sz w:val="23"/>
          <w:szCs w:val="23"/>
        </w:rPr>
        <w:t xml:space="preserve"> instead reimburse the UI fund for </w:t>
      </w:r>
      <w:r w:rsidRPr="0001328C">
        <w:rPr>
          <w:sz w:val="23"/>
          <w:szCs w:val="23"/>
        </w:rPr>
        <w:t>benefits paid to laid off employees</w:t>
      </w:r>
      <w:r>
        <w:rPr>
          <w:sz w:val="23"/>
          <w:szCs w:val="23"/>
        </w:rPr>
        <w:t>.</w:t>
      </w:r>
    </w:p>
    <w:p w:rsidR="00DD3538" w:rsidRDefault="00DD3538" w:rsidP="00DD3538">
      <w:pPr>
        <w:pStyle w:val="StyleBulletedSymbolsymbol"/>
        <w:numPr>
          <w:ilvl w:val="0"/>
          <w:numId w:val="0"/>
        </w:numPr>
        <w:spacing w:after="0"/>
      </w:pPr>
    </w:p>
    <w:p w:rsidR="00DD3538" w:rsidRDefault="00DD3538" w:rsidP="00DD3538">
      <w:pPr>
        <w:pStyle w:val="StyleBulletedSymbolsymbol"/>
        <w:numPr>
          <w:ilvl w:val="0"/>
          <w:numId w:val="0"/>
        </w:numPr>
        <w:spacing w:after="0"/>
      </w:pPr>
    </w:p>
    <w:p w:rsidR="00DD3538" w:rsidRDefault="00DD3538" w:rsidP="00DD3538">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D3538" w:rsidRPr="00A92147" w:rsidRDefault="00DD3538" w:rsidP="00DD3538"/>
    <w:p w:rsidR="00DD3538" w:rsidRPr="00EB06DA" w:rsidRDefault="00DD3538" w:rsidP="00DD35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06DA">
        <w:rPr>
          <w:spacing w:val="4"/>
        </w:rPr>
        <w:tab/>
        <w:t xml:space="preserve">This bill, for the period of the </w:t>
      </w:r>
      <w:r w:rsidRPr="00EB06DA">
        <w:rPr>
          <w:bCs/>
          <w:iCs/>
          <w:spacing w:val="4"/>
        </w:rPr>
        <w:t xml:space="preserve">public health emergency and state of emergency </w:t>
      </w:r>
      <w:r w:rsidRPr="00EB06DA">
        <w:rPr>
          <w:bCs/>
          <w:iCs/>
          <w:color w:val="000000"/>
          <w:spacing w:val="4"/>
        </w:rPr>
        <w:t xml:space="preserve">declared by the Governor on March 9, 2020, and any subsequent extensions of the </w:t>
      </w:r>
      <w:r w:rsidRPr="00EB06DA">
        <w:rPr>
          <w:bCs/>
          <w:iCs/>
          <w:spacing w:val="4"/>
        </w:rPr>
        <w:t>emergency or state of emergency, excludes the cost of unemployment benefit</w:t>
      </w:r>
      <w:r>
        <w:rPr>
          <w:bCs/>
          <w:iCs/>
          <w:spacing w:val="4"/>
        </w:rPr>
        <w:t>s</w:t>
      </w:r>
      <w:r w:rsidRPr="00EB06DA">
        <w:rPr>
          <w:bCs/>
          <w:iCs/>
          <w:spacing w:val="4"/>
        </w:rPr>
        <w:t xml:space="preserve"> to employees of an employer during that period when calculating that employer’s reserve ratio for the purposes of determining the rate of the employer’s contributions to the </w:t>
      </w:r>
      <w:r w:rsidRPr="00EB06DA">
        <w:rPr>
          <w:spacing w:val="4"/>
        </w:rPr>
        <w:t>unemployment trust fund.</w:t>
      </w:r>
    </w:p>
    <w:p w:rsidR="00DD3538" w:rsidRPr="00EB06DA" w:rsidRDefault="00DD3538" w:rsidP="00DD35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06DA">
        <w:rPr>
          <w:spacing w:val="4"/>
        </w:rPr>
        <w:tab/>
        <w:t>The bill specifies that, regardless of the actual unemployment trust fund reserve ratio, unemployment contribution rates will be:</w:t>
      </w:r>
    </w:p>
    <w:p w:rsidR="00DD3538" w:rsidRPr="00EB06DA" w:rsidRDefault="00DD3538" w:rsidP="00DD35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06DA">
        <w:rPr>
          <w:spacing w:val="4"/>
        </w:rPr>
        <w:tab/>
        <w:t>1.</w:t>
      </w:r>
      <w:r w:rsidRPr="00EB06DA">
        <w:rPr>
          <w:spacing w:val="4"/>
        </w:rPr>
        <w:tab/>
        <w:t xml:space="preserve">For fiscal year 2022, the rates set by column “C” of the Experience Rating Tax Table in </w:t>
      </w:r>
      <w:r>
        <w:rPr>
          <w:spacing w:val="4"/>
        </w:rPr>
        <w:t>R.S.32:21-7(c)(5)(E).</w:t>
      </w:r>
    </w:p>
    <w:p w:rsidR="00DD3538" w:rsidRPr="00EB06DA" w:rsidRDefault="00DD3538" w:rsidP="00DD35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06DA">
        <w:rPr>
          <w:spacing w:val="4"/>
        </w:rPr>
        <w:tab/>
        <w:t>2.</w:t>
      </w:r>
      <w:r w:rsidRPr="00EB06DA">
        <w:rPr>
          <w:spacing w:val="4"/>
        </w:rPr>
        <w:tab/>
        <w:t>For fiscal year 2023, the rates set by column “D” of that table, unless calculations based on the actual fund reserve rate would result in the selection of a column with lower contribution rates, in which case the column with the lower contribution rates would apply; and</w:t>
      </w:r>
    </w:p>
    <w:p w:rsidR="00DD3538" w:rsidRPr="00EB06DA" w:rsidRDefault="00DD3538" w:rsidP="00DD35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06DA">
        <w:rPr>
          <w:spacing w:val="4"/>
        </w:rPr>
        <w:tab/>
        <w:t>3.</w:t>
      </w:r>
      <w:r w:rsidRPr="00EB06DA">
        <w:rPr>
          <w:spacing w:val="4"/>
        </w:rPr>
        <w:tab/>
        <w:t>For fiscal year 2024, the rates set by column “E” of that table, unless calculations based on the actual fund reserve rate would result in the selection of a column with lower contribution rates, in which case the column with the lower contribution rates would apply.</w:t>
      </w:r>
    </w:p>
    <w:p w:rsidR="00DD3538" w:rsidRPr="00EB06DA" w:rsidRDefault="00DD3538" w:rsidP="00DD35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iCs/>
          <w:color w:val="000000"/>
          <w:spacing w:val="4"/>
        </w:rPr>
      </w:pPr>
      <w:r w:rsidRPr="00EB06DA">
        <w:rPr>
          <w:spacing w:val="4"/>
        </w:rPr>
        <w:tab/>
        <w:t>The bill also exempts</w:t>
      </w:r>
      <w:r w:rsidRPr="00EB06DA">
        <w:rPr>
          <w:bCs/>
          <w:iCs/>
          <w:spacing w:val="4"/>
        </w:rPr>
        <w:t xml:space="preserve"> any nonprofit or governmental employer which elects to make payments in lieu of contributions from liability for payments in lieu of contributions with respect to 50 percent of unemployment benefits paid to employees laid off by the employer during that public health emergency </w:t>
      </w:r>
      <w:r w:rsidRPr="00EB06DA">
        <w:rPr>
          <w:bCs/>
          <w:iCs/>
          <w:color w:val="000000"/>
          <w:spacing w:val="4"/>
        </w:rPr>
        <w:t>and any extensions of it.</w:t>
      </w:r>
    </w:p>
    <w:p w:rsidR="00DD3538" w:rsidRDefault="00DD3538" w:rsidP="00DD3538">
      <w:pPr>
        <w:tabs>
          <w:tab w:val="left" w:pos="360"/>
          <w:tab w:val="left" w:pos="720"/>
          <w:tab w:val="left" w:pos="1440"/>
          <w:tab w:val="left" w:pos="2160"/>
          <w:tab w:val="left" w:pos="2880"/>
          <w:tab w:val="left" w:pos="3600"/>
          <w:tab w:val="left" w:pos="4320"/>
          <w:tab w:val="left" w:pos="5040"/>
        </w:tabs>
      </w:pPr>
    </w:p>
    <w:p w:rsidR="00DD3538" w:rsidRDefault="00DD3538" w:rsidP="00DD3538">
      <w:pPr>
        <w:tabs>
          <w:tab w:val="left" w:pos="360"/>
          <w:tab w:val="left" w:pos="720"/>
          <w:tab w:val="left" w:pos="1440"/>
          <w:tab w:val="left" w:pos="2160"/>
          <w:tab w:val="left" w:pos="2880"/>
          <w:tab w:val="left" w:pos="3600"/>
          <w:tab w:val="left" w:pos="4320"/>
          <w:tab w:val="left" w:pos="5040"/>
        </w:tabs>
      </w:pPr>
    </w:p>
    <w:p w:rsidR="00DD3538" w:rsidRDefault="00DD3538" w:rsidP="00DD3538">
      <w:pPr>
        <w:pStyle w:val="SectionHeading"/>
        <w:tabs>
          <w:tab w:val="left" w:pos="360"/>
          <w:tab w:val="left" w:pos="720"/>
          <w:tab w:val="left" w:pos="1440"/>
          <w:tab w:val="left" w:pos="2160"/>
          <w:tab w:val="left" w:pos="2880"/>
          <w:tab w:val="left" w:pos="3600"/>
          <w:tab w:val="left" w:pos="4320"/>
          <w:tab w:val="left" w:pos="5040"/>
        </w:tabs>
      </w:pPr>
      <w:r>
        <w:t>FISCAL ANALYSIS</w:t>
      </w:r>
    </w:p>
    <w:p w:rsidR="00DD3538" w:rsidRDefault="00DD3538" w:rsidP="00DD3538">
      <w:pPr>
        <w:tabs>
          <w:tab w:val="left" w:pos="360"/>
          <w:tab w:val="left" w:pos="720"/>
          <w:tab w:val="left" w:pos="1440"/>
          <w:tab w:val="left" w:pos="2160"/>
          <w:tab w:val="left" w:pos="2880"/>
          <w:tab w:val="left" w:pos="3600"/>
          <w:tab w:val="left" w:pos="4320"/>
          <w:tab w:val="left" w:pos="5040"/>
        </w:tabs>
      </w:pPr>
    </w:p>
    <w:p w:rsidR="00DD3538" w:rsidRDefault="00DD3538" w:rsidP="00DD3538">
      <w:pPr>
        <w:pStyle w:val="InterSectionHeading"/>
        <w:tabs>
          <w:tab w:val="left" w:pos="720"/>
          <w:tab w:val="left" w:pos="1440"/>
          <w:tab w:val="left" w:pos="2160"/>
          <w:tab w:val="left" w:pos="2880"/>
          <w:tab w:val="left" w:pos="3600"/>
          <w:tab w:val="left" w:pos="4320"/>
          <w:tab w:val="left" w:pos="5040"/>
        </w:tabs>
      </w:pPr>
      <w:r>
        <w:t>EXECUTIVE BRANCH</w:t>
      </w:r>
    </w:p>
    <w:p w:rsidR="00DD3538" w:rsidRDefault="00DD3538" w:rsidP="00DD3538">
      <w:pPr>
        <w:tabs>
          <w:tab w:val="left" w:pos="360"/>
          <w:tab w:val="left" w:pos="720"/>
          <w:tab w:val="left" w:pos="1440"/>
          <w:tab w:val="left" w:pos="2160"/>
          <w:tab w:val="left" w:pos="2880"/>
          <w:tab w:val="left" w:pos="3600"/>
          <w:tab w:val="left" w:pos="4320"/>
          <w:tab w:val="left" w:pos="5040"/>
        </w:tabs>
      </w:pPr>
    </w:p>
    <w:p w:rsidR="00DD3538" w:rsidRDefault="00DD3538" w:rsidP="00DD3538">
      <w:pPr>
        <w:tabs>
          <w:tab w:val="left" w:pos="360"/>
          <w:tab w:val="left" w:pos="720"/>
          <w:tab w:val="left" w:pos="1440"/>
          <w:tab w:val="left" w:pos="2160"/>
          <w:tab w:val="left" w:pos="2880"/>
          <w:tab w:val="left" w:pos="3600"/>
          <w:tab w:val="left" w:pos="4320"/>
          <w:tab w:val="left" w:pos="5040"/>
        </w:tabs>
      </w:pPr>
      <w:r>
        <w:tab/>
        <w:t>T</w:t>
      </w:r>
      <w:r w:rsidRPr="00CD4258">
        <w:t>he New Jersey Department of Labor and Workforce Development</w:t>
      </w:r>
      <w:r>
        <w:t xml:space="preserve"> (DOLWD)</w:t>
      </w:r>
      <w:r w:rsidRPr="00CD4258">
        <w:t xml:space="preserve"> </w:t>
      </w:r>
      <w:r>
        <w:t>provided data concerning</w:t>
      </w:r>
      <w:r w:rsidRPr="00CD4258">
        <w:t xml:space="preserve"> revenues and expenditures of the State’s UI </w:t>
      </w:r>
      <w:r>
        <w:t>f</w:t>
      </w:r>
      <w:r w:rsidRPr="00CD4258">
        <w:t>und</w:t>
      </w:r>
      <w:r>
        <w:t>.</w:t>
      </w:r>
    </w:p>
    <w:p w:rsidR="00DD3538" w:rsidRDefault="00DD3538" w:rsidP="00DD3538">
      <w:pPr>
        <w:tabs>
          <w:tab w:val="left" w:pos="360"/>
          <w:tab w:val="left" w:pos="720"/>
          <w:tab w:val="left" w:pos="1440"/>
          <w:tab w:val="left" w:pos="2160"/>
          <w:tab w:val="left" w:pos="2880"/>
          <w:tab w:val="left" w:pos="3600"/>
          <w:tab w:val="left" w:pos="4320"/>
          <w:tab w:val="left" w:pos="5040"/>
        </w:tabs>
      </w:pPr>
    </w:p>
    <w:p w:rsidR="00DD3538" w:rsidRDefault="00DD3538" w:rsidP="00DD3538">
      <w:pPr>
        <w:pStyle w:val="InterSectionHeading"/>
        <w:tabs>
          <w:tab w:val="left" w:pos="720"/>
          <w:tab w:val="left" w:pos="1440"/>
          <w:tab w:val="left" w:pos="2160"/>
          <w:tab w:val="left" w:pos="2880"/>
          <w:tab w:val="left" w:pos="3600"/>
          <w:tab w:val="left" w:pos="4320"/>
          <w:tab w:val="left" w:pos="5040"/>
        </w:tabs>
      </w:pPr>
      <w:r>
        <w:t>OFFICE OF LEGISLATIVE SERVICES</w:t>
      </w:r>
    </w:p>
    <w:p w:rsidR="00DD3538" w:rsidRPr="007C5975" w:rsidRDefault="00DD3538" w:rsidP="00DD3538">
      <w:pPr>
        <w:tabs>
          <w:tab w:val="left" w:pos="360"/>
          <w:tab w:val="left" w:pos="720"/>
          <w:tab w:val="left" w:pos="1440"/>
          <w:tab w:val="left" w:pos="2160"/>
          <w:tab w:val="left" w:pos="2880"/>
          <w:tab w:val="left" w:pos="3600"/>
          <w:tab w:val="left" w:pos="4320"/>
          <w:tab w:val="left" w:pos="5040"/>
        </w:tabs>
      </w:pPr>
    </w:p>
    <w:p w:rsidR="00DD3538" w:rsidRPr="007C5975" w:rsidRDefault="00DD3538" w:rsidP="00DD3538">
      <w:r w:rsidRPr="007C5975">
        <w:rPr>
          <w:b/>
          <w:u w:val="single"/>
        </w:rPr>
        <w:t xml:space="preserve">UI </w:t>
      </w:r>
      <w:r>
        <w:rPr>
          <w:b/>
          <w:u w:val="single"/>
        </w:rPr>
        <w:t>Fund Revenue Reductions</w:t>
      </w:r>
      <w:r w:rsidRPr="007C5975">
        <w:rPr>
          <w:b/>
          <w:u w:val="single"/>
        </w:rPr>
        <w:t>:</w:t>
      </w:r>
    </w:p>
    <w:p w:rsidR="00DD3538" w:rsidRDefault="00DD3538" w:rsidP="00DD35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C5975">
        <w:tab/>
        <w:t xml:space="preserve">The OLS </w:t>
      </w:r>
      <w:r w:rsidRPr="00972643">
        <w:t xml:space="preserve">estimates that the bill will reduce revenues to the </w:t>
      </w:r>
      <w:r>
        <w:t>UI</w:t>
      </w:r>
      <w:r w:rsidRPr="00972643">
        <w:t xml:space="preserve"> Fund by at least $660 million in FY 2022, $450 million in FY 2023, and $230 million in FY 2024 relative to amounts that would have been collected from employers based on the fund’s reserve ratio and statutory funding formula.</w:t>
      </w:r>
      <w:r>
        <w:t xml:space="preserve"> </w:t>
      </w:r>
      <w:r w:rsidRPr="00972643">
        <w:t xml:space="preserve"> </w:t>
      </w:r>
      <w:r>
        <w:t>These revenue reductions are in actuality deferrals of employer contributions to the UI Fund because beginning in FY 2025, employer contribution rates will return to their statutory levels and remain in place until the UI fund is replenished and federal loans are repaid.</w:t>
      </w:r>
    </w:p>
    <w:p w:rsidR="00DD3538" w:rsidRDefault="00DD3538" w:rsidP="00DD35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ab/>
      </w:r>
      <w:r w:rsidRPr="00972643">
        <w:t>The UI fund’s reserve ratio, in part, determines an employer’s tax rate, which will increase as the reserve ratio falls in order to replenish the fund balance as unemployment benefits get paid out.  As a result of the Covid-19 pandemic, a significant amount of benefits have been paid</w:t>
      </w:r>
      <w:r>
        <w:t xml:space="preserve"> during calendar year (CY) 2020</w:t>
      </w:r>
      <w:r w:rsidRPr="00972643">
        <w:t xml:space="preserve"> and the f</w:t>
      </w:r>
      <w:r>
        <w:t>und balance has been reduced.  The</w:t>
      </w:r>
      <w:r w:rsidRPr="00972643">
        <w:t xml:space="preserve"> decline in the reserve ratio would have automatically triggered </w:t>
      </w:r>
      <w:r>
        <w:t>the highest possible employer contribution rate</w:t>
      </w:r>
      <w:r w:rsidRPr="00972643">
        <w:t xml:space="preserve"> beginning in FY 2022, but this bill excludes the fund’s reserve ratio in calculating an employer’s contribution rate and instead provides for lower employer contribu</w:t>
      </w:r>
      <w:r>
        <w:t xml:space="preserve">tions over a three-year period. </w:t>
      </w:r>
    </w:p>
    <w:p w:rsidR="00DD3538" w:rsidRPr="007C5975" w:rsidRDefault="00DD3538" w:rsidP="00DD35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Currently, </w:t>
      </w:r>
      <w:r>
        <w:rPr>
          <w:spacing w:val="4"/>
        </w:rPr>
        <w:t>u</w:t>
      </w:r>
      <w:r w:rsidRPr="007C5975">
        <w:rPr>
          <w:spacing w:val="4"/>
        </w:rPr>
        <w:t xml:space="preserve">nemployment contribution rates </w:t>
      </w:r>
      <w:r w:rsidRPr="007C5975">
        <w:t xml:space="preserve">for FY 2021 are set by </w:t>
      </w:r>
      <w:r w:rsidRPr="007C5975">
        <w:rPr>
          <w:spacing w:val="4"/>
        </w:rPr>
        <w:t>column “B” of the Experience Rating Tax Table</w:t>
      </w:r>
      <w:r>
        <w:rPr>
          <w:spacing w:val="4"/>
        </w:rPr>
        <w:t xml:space="preserve">.  </w:t>
      </w:r>
      <w:r w:rsidRPr="007C5975">
        <w:t>If this bill is not enacted, the UI fund</w:t>
      </w:r>
      <w:r>
        <w:t xml:space="preserve"> will most likely</w:t>
      </w:r>
      <w:r w:rsidRPr="007C5975">
        <w:t xml:space="preserve"> have a negative balance when the employer UI tax rates are calculated on March 31, 2021 for FY 2022</w:t>
      </w:r>
      <w:r>
        <w:t xml:space="preserve"> because of the</w:t>
      </w:r>
      <w:r w:rsidRPr="007C5975">
        <w:t xml:space="preserve"> large amount of UI benefits paid out</w:t>
      </w:r>
      <w:r>
        <w:t xml:space="preserve"> to employees</w:t>
      </w:r>
      <w:r w:rsidRPr="007C5975">
        <w:t xml:space="preserve"> during </w:t>
      </w:r>
      <w:r>
        <w:t xml:space="preserve">CY </w:t>
      </w:r>
      <w:r w:rsidRPr="007C5975">
        <w:t>2020.  Consequently, the taxes on employers for FY 2022 would be th</w:t>
      </w:r>
      <w:r>
        <w:t>e taxes indicated in column “E”</w:t>
      </w:r>
      <w:r w:rsidRPr="007C5975">
        <w:t xml:space="preserve"> plus the 10% surcharge</w:t>
      </w:r>
      <w:r>
        <w:t xml:space="preserve"> currently provided</w:t>
      </w:r>
      <w:r w:rsidRPr="007C5975">
        <w:t>, imposing the highest l</w:t>
      </w:r>
      <w:r>
        <w:t>evel of UI taxes provided by</w:t>
      </w:r>
      <w:r w:rsidRPr="007C5975">
        <w:t xml:space="preserve"> law.  According to data provided by the DOLWD and displayed in the table below, total FY 2022 taxes would be increased by $940 million</w:t>
      </w:r>
      <w:r>
        <w:t xml:space="preserve"> compared with FY 2021</w:t>
      </w:r>
      <w:r w:rsidRPr="007C5975">
        <w:t>, or 58%, from $1.62 billion under the “B” schedule to $2.56 billion under the “E” plus 10% schedule.</w:t>
      </w:r>
      <w:r>
        <w:t xml:space="preserve"> </w:t>
      </w:r>
    </w:p>
    <w:p w:rsidR="00DD3538" w:rsidRPr="007C5975" w:rsidRDefault="00DD3538" w:rsidP="00DD3538">
      <w:r>
        <w:t xml:space="preserve">      </w:t>
      </w:r>
      <w:r w:rsidRPr="007C5975">
        <w:t>Absent this bill</w:t>
      </w:r>
      <w:r>
        <w:t xml:space="preserve"> or other intervention</w:t>
      </w:r>
      <w:r w:rsidRPr="007C5975">
        <w:t xml:space="preserve">, the OLS notes that the </w:t>
      </w:r>
      <w:r>
        <w:t xml:space="preserve">statutory tax schedule </w:t>
      </w:r>
      <w:r w:rsidRPr="007C5975">
        <w:t xml:space="preserve">would </w:t>
      </w:r>
      <w:r>
        <w:t xml:space="preserve">have </w:t>
      </w:r>
      <w:r w:rsidRPr="007C5975">
        <w:t>result</w:t>
      </w:r>
      <w:r>
        <w:t>ed</w:t>
      </w:r>
      <w:r w:rsidRPr="007C5975">
        <w:t xml:space="preserve"> in the “E” plus 10% schedule applying to FY2022 and possibly subsequent years.  </w:t>
      </w:r>
      <w:r>
        <w:t>However, the</w:t>
      </w:r>
      <w:r w:rsidRPr="007C5975">
        <w:t xml:space="preserve"> bill </w:t>
      </w:r>
      <w:r>
        <w:t>replaces this increase</w:t>
      </w:r>
      <w:r w:rsidRPr="007C5975">
        <w:t xml:space="preserve"> with a </w:t>
      </w:r>
      <w:r>
        <w:t>new</w:t>
      </w:r>
      <w:r w:rsidRPr="007C5975">
        <w:t xml:space="preserve"> mandated progression (overriding any higher tax rates triggered by the reserve ratios) of the “C” schedule in FY 2022, the “D” schedule in FY 2023, </w:t>
      </w:r>
      <w:r>
        <w:t xml:space="preserve">and </w:t>
      </w:r>
      <w:r w:rsidRPr="007C5975">
        <w:t>the “E” schedule in FY 2024.</w:t>
      </w:r>
    </w:p>
    <w:p w:rsidR="00DD3538" w:rsidRPr="007C5975" w:rsidRDefault="00DD3538" w:rsidP="00DD3538">
      <w:pPr>
        <w:ind w:firstLine="720"/>
      </w:pPr>
    </w:p>
    <w:tbl>
      <w:tblPr>
        <w:tblW w:w="4423" w:type="dxa"/>
        <w:jc w:val="center"/>
        <w:tblLook w:val="04A0" w:firstRow="1" w:lastRow="0" w:firstColumn="1" w:lastColumn="0" w:noHBand="0" w:noVBand="1"/>
      </w:tblPr>
      <w:tblGrid>
        <w:gridCol w:w="4423"/>
      </w:tblGrid>
      <w:tr w:rsidR="00DD3538" w:rsidRPr="00F22313" w:rsidTr="0063793E">
        <w:trPr>
          <w:trHeight w:val="285"/>
          <w:jc w:val="center"/>
        </w:trPr>
        <w:tc>
          <w:tcPr>
            <w:tcW w:w="4423" w:type="dxa"/>
            <w:tcBorders>
              <w:top w:val="nil"/>
              <w:left w:val="nil"/>
              <w:bottom w:val="nil"/>
              <w:right w:val="nil"/>
            </w:tcBorders>
            <w:shd w:val="clear" w:color="auto" w:fill="auto"/>
            <w:noWrap/>
            <w:vAlign w:val="bottom"/>
            <w:hideMark/>
          </w:tcPr>
          <w:p w:rsidR="00DD3538" w:rsidRPr="00F22313" w:rsidRDefault="00DD3538" w:rsidP="0063793E">
            <w:pPr>
              <w:spacing w:line="240" w:lineRule="auto"/>
              <w:jc w:val="left"/>
              <w:rPr>
                <w:b/>
                <w:bCs/>
                <w:sz w:val="20"/>
                <w:szCs w:val="20"/>
              </w:rPr>
            </w:pPr>
            <w:r w:rsidRPr="007C5975">
              <w:rPr>
                <w:b/>
                <w:bCs/>
                <w:sz w:val="20"/>
                <w:szCs w:val="20"/>
              </w:rPr>
              <w:t xml:space="preserve">UNEMPLOYMENT COMPENSATION </w:t>
            </w:r>
            <w:r w:rsidRPr="00F22313">
              <w:rPr>
                <w:b/>
                <w:bCs/>
                <w:sz w:val="20"/>
                <w:szCs w:val="20"/>
              </w:rPr>
              <w:t xml:space="preserve">FUND </w:t>
            </w:r>
          </w:p>
        </w:tc>
      </w:tr>
      <w:tr w:rsidR="00DD3538" w:rsidRPr="00F22313" w:rsidTr="0063793E">
        <w:trPr>
          <w:trHeight w:val="285"/>
          <w:jc w:val="center"/>
        </w:trPr>
        <w:tc>
          <w:tcPr>
            <w:tcW w:w="4423" w:type="dxa"/>
            <w:tcBorders>
              <w:top w:val="nil"/>
              <w:left w:val="nil"/>
              <w:bottom w:val="nil"/>
              <w:right w:val="nil"/>
            </w:tcBorders>
            <w:shd w:val="clear" w:color="auto" w:fill="auto"/>
            <w:noWrap/>
            <w:vAlign w:val="bottom"/>
            <w:hideMark/>
          </w:tcPr>
          <w:p w:rsidR="00DD3538" w:rsidRPr="00F22313" w:rsidRDefault="00DD3538" w:rsidP="0063793E">
            <w:pPr>
              <w:spacing w:line="240" w:lineRule="auto"/>
              <w:jc w:val="center"/>
              <w:rPr>
                <w:b/>
                <w:bCs/>
                <w:sz w:val="20"/>
                <w:szCs w:val="20"/>
              </w:rPr>
            </w:pPr>
            <w:r w:rsidRPr="00F22313">
              <w:rPr>
                <w:b/>
                <w:bCs/>
                <w:sz w:val="20"/>
                <w:szCs w:val="20"/>
              </w:rPr>
              <w:t xml:space="preserve"> EMPLOYER CONTRIBUTIONS </w:t>
            </w:r>
          </w:p>
        </w:tc>
      </w:tr>
      <w:tr w:rsidR="00DD3538" w:rsidRPr="00F22313" w:rsidTr="0063793E">
        <w:trPr>
          <w:trHeight w:val="285"/>
          <w:jc w:val="center"/>
        </w:trPr>
        <w:tc>
          <w:tcPr>
            <w:tcW w:w="4423" w:type="dxa"/>
            <w:tcBorders>
              <w:top w:val="nil"/>
              <w:left w:val="nil"/>
              <w:bottom w:val="nil"/>
              <w:right w:val="nil"/>
            </w:tcBorders>
            <w:shd w:val="clear" w:color="auto" w:fill="auto"/>
            <w:noWrap/>
            <w:vAlign w:val="bottom"/>
            <w:hideMark/>
          </w:tcPr>
          <w:p w:rsidR="00DD3538" w:rsidRPr="00F22313" w:rsidRDefault="00DD3538" w:rsidP="0063793E">
            <w:pPr>
              <w:spacing w:line="240" w:lineRule="auto"/>
              <w:jc w:val="center"/>
              <w:rPr>
                <w:b/>
                <w:bCs/>
                <w:sz w:val="20"/>
                <w:szCs w:val="20"/>
              </w:rPr>
            </w:pPr>
            <w:r w:rsidRPr="007C5975">
              <w:rPr>
                <w:b/>
                <w:bCs/>
                <w:sz w:val="20"/>
                <w:szCs w:val="20"/>
              </w:rPr>
              <w:t xml:space="preserve"> TABLE</w:t>
            </w:r>
            <w:r w:rsidRPr="00F22313">
              <w:rPr>
                <w:b/>
                <w:bCs/>
                <w:sz w:val="20"/>
                <w:szCs w:val="20"/>
              </w:rPr>
              <w:t xml:space="preserve"> A - E &amp;</w:t>
            </w:r>
            <w:r w:rsidRPr="007C5975">
              <w:rPr>
                <w:b/>
                <w:bCs/>
                <w:sz w:val="20"/>
                <w:szCs w:val="20"/>
              </w:rPr>
              <w:t xml:space="preserve"> </w:t>
            </w:r>
            <w:r w:rsidRPr="00F22313">
              <w:rPr>
                <w:b/>
                <w:bCs/>
                <w:sz w:val="20"/>
                <w:szCs w:val="20"/>
              </w:rPr>
              <w:t xml:space="preserve">10% (CASH BASIS) </w:t>
            </w:r>
          </w:p>
        </w:tc>
      </w:tr>
      <w:tr w:rsidR="00DD3538" w:rsidRPr="00F22313" w:rsidTr="0063793E">
        <w:trPr>
          <w:trHeight w:val="285"/>
          <w:jc w:val="center"/>
        </w:trPr>
        <w:tc>
          <w:tcPr>
            <w:tcW w:w="4423" w:type="dxa"/>
            <w:tcBorders>
              <w:top w:val="nil"/>
              <w:left w:val="nil"/>
              <w:bottom w:val="nil"/>
              <w:right w:val="nil"/>
            </w:tcBorders>
            <w:shd w:val="clear" w:color="auto" w:fill="auto"/>
            <w:noWrap/>
            <w:vAlign w:val="bottom"/>
            <w:hideMark/>
          </w:tcPr>
          <w:p w:rsidR="00DD3538" w:rsidRPr="00F22313" w:rsidRDefault="00DD3538" w:rsidP="0063793E">
            <w:pPr>
              <w:spacing w:line="240" w:lineRule="auto"/>
              <w:jc w:val="center"/>
              <w:rPr>
                <w:b/>
                <w:bCs/>
                <w:sz w:val="20"/>
                <w:szCs w:val="20"/>
              </w:rPr>
            </w:pPr>
            <w:r w:rsidRPr="00F22313">
              <w:rPr>
                <w:b/>
                <w:bCs/>
                <w:sz w:val="20"/>
                <w:szCs w:val="20"/>
              </w:rPr>
              <w:t xml:space="preserve"> FISCAL YEARS 2021 &amp; 2022 </w:t>
            </w:r>
          </w:p>
        </w:tc>
      </w:tr>
    </w:tbl>
    <w:p w:rsidR="00DD3538" w:rsidRPr="007C5975" w:rsidRDefault="00DD3538" w:rsidP="00DD3538">
      <w:pPr>
        <w:ind w:firstLine="720"/>
      </w:pPr>
    </w:p>
    <w:tbl>
      <w:tblPr>
        <w:tblW w:w="5474" w:type="dxa"/>
        <w:jc w:val="center"/>
        <w:tblLook w:val="04A0" w:firstRow="1" w:lastRow="0" w:firstColumn="1" w:lastColumn="0" w:noHBand="0" w:noVBand="1"/>
      </w:tblPr>
      <w:tblGrid>
        <w:gridCol w:w="974"/>
        <w:gridCol w:w="1181"/>
        <w:gridCol w:w="1447"/>
        <w:gridCol w:w="1163"/>
        <w:gridCol w:w="883"/>
      </w:tblGrid>
      <w:tr w:rsidR="00DD3538" w:rsidRPr="00F22313" w:rsidTr="0063793E">
        <w:trPr>
          <w:trHeight w:val="300"/>
          <w:jc w:val="center"/>
        </w:trPr>
        <w:tc>
          <w:tcPr>
            <w:tcW w:w="974" w:type="dxa"/>
            <w:tcBorders>
              <w:top w:val="single" w:sz="4" w:space="0" w:color="auto"/>
              <w:left w:val="single" w:sz="4" w:space="0" w:color="auto"/>
              <w:bottom w:val="nil"/>
              <w:right w:val="single" w:sz="4" w:space="0" w:color="auto"/>
            </w:tcBorders>
            <w:shd w:val="clear" w:color="000000" w:fill="DCE6F1"/>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UI </w:t>
            </w:r>
          </w:p>
        </w:tc>
        <w:tc>
          <w:tcPr>
            <w:tcW w:w="1181"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rsidR="00DD3538" w:rsidRPr="00F22313" w:rsidRDefault="00DD3538" w:rsidP="0063793E">
            <w:pPr>
              <w:spacing w:line="240" w:lineRule="auto"/>
              <w:jc w:val="center"/>
              <w:rPr>
                <w:sz w:val="20"/>
                <w:szCs w:val="20"/>
              </w:rPr>
            </w:pPr>
            <w:r w:rsidRPr="00F22313">
              <w:rPr>
                <w:sz w:val="20"/>
                <w:szCs w:val="20"/>
              </w:rPr>
              <w:t xml:space="preserve"> FY 2021  ($</w:t>
            </w:r>
            <w:r>
              <w:rPr>
                <w:sz w:val="20"/>
                <w:szCs w:val="20"/>
              </w:rPr>
              <w:t xml:space="preserve"> billions</w:t>
            </w:r>
            <w:r w:rsidRPr="00F22313">
              <w:rPr>
                <w:sz w:val="20"/>
                <w:szCs w:val="20"/>
              </w:rPr>
              <w:t xml:space="preserve">) </w:t>
            </w:r>
          </w:p>
        </w:tc>
        <w:tc>
          <w:tcPr>
            <w:tcW w:w="3319" w:type="dxa"/>
            <w:gridSpan w:val="3"/>
            <w:tcBorders>
              <w:top w:val="single" w:sz="4" w:space="0" w:color="auto"/>
              <w:left w:val="nil"/>
              <w:bottom w:val="single" w:sz="4" w:space="0" w:color="auto"/>
              <w:right w:val="single" w:sz="4" w:space="0" w:color="000000"/>
            </w:tcBorders>
            <w:shd w:val="clear" w:color="000000" w:fill="DCE6F1"/>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FY 2022 </w:t>
            </w:r>
          </w:p>
        </w:tc>
      </w:tr>
      <w:tr w:rsidR="00DD3538" w:rsidRPr="00F22313" w:rsidTr="0063793E">
        <w:trPr>
          <w:trHeight w:val="285"/>
          <w:jc w:val="center"/>
        </w:trPr>
        <w:tc>
          <w:tcPr>
            <w:tcW w:w="974" w:type="dxa"/>
            <w:tcBorders>
              <w:top w:val="nil"/>
              <w:left w:val="single" w:sz="4" w:space="0" w:color="auto"/>
              <w:bottom w:val="nil"/>
              <w:right w:val="single" w:sz="4" w:space="0" w:color="auto"/>
            </w:tcBorders>
            <w:shd w:val="clear" w:color="000000" w:fill="DCE6F1"/>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TAX  </w:t>
            </w:r>
          </w:p>
        </w:tc>
        <w:tc>
          <w:tcPr>
            <w:tcW w:w="1181" w:type="dxa"/>
            <w:vMerge/>
            <w:tcBorders>
              <w:top w:val="single" w:sz="4" w:space="0" w:color="auto"/>
              <w:left w:val="single" w:sz="4" w:space="0" w:color="auto"/>
              <w:bottom w:val="single" w:sz="4" w:space="0" w:color="000000"/>
              <w:right w:val="single" w:sz="4" w:space="0" w:color="auto"/>
            </w:tcBorders>
            <w:vAlign w:val="center"/>
            <w:hideMark/>
          </w:tcPr>
          <w:p w:rsidR="00DD3538" w:rsidRPr="00F22313" w:rsidRDefault="00DD3538" w:rsidP="0063793E">
            <w:pPr>
              <w:spacing w:line="240" w:lineRule="auto"/>
              <w:jc w:val="left"/>
              <w:rPr>
                <w:sz w:val="20"/>
                <w:szCs w:val="20"/>
              </w:rPr>
            </w:pPr>
          </w:p>
        </w:tc>
        <w:tc>
          <w:tcPr>
            <w:tcW w:w="1447" w:type="dxa"/>
            <w:vMerge w:val="restart"/>
            <w:tcBorders>
              <w:top w:val="nil"/>
              <w:left w:val="single" w:sz="4" w:space="0" w:color="auto"/>
              <w:bottom w:val="single" w:sz="4" w:space="0" w:color="000000"/>
              <w:right w:val="single" w:sz="4" w:space="0" w:color="auto"/>
            </w:tcBorders>
            <w:shd w:val="clear" w:color="000000" w:fill="F2F2F2"/>
            <w:vAlign w:val="center"/>
            <w:hideMark/>
          </w:tcPr>
          <w:p w:rsidR="00DD3538" w:rsidRPr="00F22313" w:rsidRDefault="00DD3538" w:rsidP="0063793E">
            <w:pPr>
              <w:spacing w:line="240" w:lineRule="auto"/>
              <w:jc w:val="center"/>
              <w:rPr>
                <w:sz w:val="20"/>
                <w:szCs w:val="20"/>
              </w:rPr>
            </w:pPr>
            <w:r w:rsidRPr="00F22313">
              <w:rPr>
                <w:sz w:val="20"/>
                <w:szCs w:val="20"/>
              </w:rPr>
              <w:t xml:space="preserve"> Projected Contribution ($</w:t>
            </w:r>
            <w:r>
              <w:rPr>
                <w:sz w:val="20"/>
                <w:szCs w:val="20"/>
              </w:rPr>
              <w:t xml:space="preserve"> billions</w:t>
            </w:r>
            <w:r w:rsidRPr="00F22313">
              <w:rPr>
                <w:sz w:val="20"/>
                <w:szCs w:val="20"/>
              </w:rPr>
              <w:t xml:space="preserve">) </w:t>
            </w:r>
          </w:p>
        </w:tc>
        <w:tc>
          <w:tcPr>
            <w:tcW w:w="1872"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Change over "B" </w:t>
            </w:r>
          </w:p>
        </w:tc>
      </w:tr>
      <w:tr w:rsidR="00DD3538" w:rsidRPr="00F22313" w:rsidTr="0063793E">
        <w:trPr>
          <w:trHeight w:val="300"/>
          <w:jc w:val="center"/>
        </w:trPr>
        <w:tc>
          <w:tcPr>
            <w:tcW w:w="974" w:type="dxa"/>
            <w:tcBorders>
              <w:top w:val="nil"/>
              <w:left w:val="single" w:sz="4" w:space="0" w:color="auto"/>
              <w:bottom w:val="nil"/>
              <w:right w:val="single" w:sz="4" w:space="0" w:color="auto"/>
            </w:tcBorders>
            <w:shd w:val="clear" w:color="000000" w:fill="DCE6F1"/>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TABLE </w:t>
            </w:r>
          </w:p>
        </w:tc>
        <w:tc>
          <w:tcPr>
            <w:tcW w:w="1181" w:type="dxa"/>
            <w:vMerge/>
            <w:tcBorders>
              <w:top w:val="single" w:sz="4" w:space="0" w:color="auto"/>
              <w:left w:val="single" w:sz="4" w:space="0" w:color="auto"/>
              <w:bottom w:val="single" w:sz="4" w:space="0" w:color="000000"/>
              <w:right w:val="single" w:sz="4" w:space="0" w:color="auto"/>
            </w:tcBorders>
            <w:vAlign w:val="center"/>
            <w:hideMark/>
          </w:tcPr>
          <w:p w:rsidR="00DD3538" w:rsidRPr="00F22313" w:rsidRDefault="00DD3538" w:rsidP="0063793E">
            <w:pPr>
              <w:spacing w:line="240" w:lineRule="auto"/>
              <w:jc w:val="left"/>
              <w:rPr>
                <w:sz w:val="20"/>
                <w:szCs w:val="20"/>
              </w:rPr>
            </w:pPr>
          </w:p>
        </w:tc>
        <w:tc>
          <w:tcPr>
            <w:tcW w:w="1447" w:type="dxa"/>
            <w:vMerge/>
            <w:tcBorders>
              <w:top w:val="nil"/>
              <w:left w:val="single" w:sz="4" w:space="0" w:color="auto"/>
              <w:bottom w:val="single" w:sz="4" w:space="0" w:color="000000"/>
              <w:right w:val="single" w:sz="4" w:space="0" w:color="auto"/>
            </w:tcBorders>
            <w:vAlign w:val="center"/>
            <w:hideMark/>
          </w:tcPr>
          <w:p w:rsidR="00DD3538" w:rsidRPr="00F22313" w:rsidRDefault="00DD3538" w:rsidP="0063793E">
            <w:pPr>
              <w:spacing w:line="240" w:lineRule="auto"/>
              <w:jc w:val="left"/>
              <w:rPr>
                <w:sz w:val="20"/>
                <w:szCs w:val="20"/>
              </w:rPr>
            </w:pPr>
          </w:p>
        </w:tc>
        <w:tc>
          <w:tcPr>
            <w:tcW w:w="1163" w:type="dxa"/>
            <w:tcBorders>
              <w:top w:val="nil"/>
              <w:left w:val="nil"/>
              <w:bottom w:val="single" w:sz="4" w:space="0" w:color="auto"/>
              <w:right w:val="single" w:sz="4" w:space="0" w:color="auto"/>
            </w:tcBorders>
            <w:shd w:val="clear" w:color="000000" w:fill="F2F2F2"/>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Increase</w:t>
            </w:r>
            <w:r>
              <w:rPr>
                <w:sz w:val="20"/>
                <w:szCs w:val="20"/>
              </w:rPr>
              <w:t xml:space="preserve">   ($ billions)</w:t>
            </w:r>
            <w:r w:rsidRPr="00F22313">
              <w:rPr>
                <w:sz w:val="20"/>
                <w:szCs w:val="20"/>
              </w:rPr>
              <w:t xml:space="preserve"> </w:t>
            </w:r>
          </w:p>
        </w:tc>
        <w:tc>
          <w:tcPr>
            <w:tcW w:w="709" w:type="dxa"/>
            <w:tcBorders>
              <w:top w:val="nil"/>
              <w:left w:val="nil"/>
              <w:bottom w:val="single" w:sz="4" w:space="0" w:color="auto"/>
              <w:right w:val="single" w:sz="4" w:space="0" w:color="auto"/>
            </w:tcBorders>
            <w:shd w:val="clear" w:color="000000" w:fill="F2F2F2"/>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Percent</w:t>
            </w:r>
            <w:r>
              <w:rPr>
                <w:sz w:val="20"/>
                <w:szCs w:val="20"/>
              </w:rPr>
              <w:t xml:space="preserve"> Increase</w:t>
            </w:r>
            <w:r w:rsidRPr="00F22313">
              <w:rPr>
                <w:sz w:val="20"/>
                <w:szCs w:val="20"/>
              </w:rPr>
              <w:t xml:space="preserve"> </w:t>
            </w:r>
          </w:p>
        </w:tc>
      </w:tr>
      <w:tr w:rsidR="00DD3538" w:rsidRPr="00F22313" w:rsidTr="0063793E">
        <w:trPr>
          <w:trHeight w:val="285"/>
          <w:jc w:val="center"/>
        </w:trPr>
        <w:tc>
          <w:tcPr>
            <w:tcW w:w="974" w:type="dxa"/>
            <w:tcBorders>
              <w:top w:val="single" w:sz="4" w:space="0" w:color="auto"/>
              <w:left w:val="single" w:sz="4" w:space="0" w:color="auto"/>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A </w:t>
            </w:r>
          </w:p>
        </w:tc>
        <w:tc>
          <w:tcPr>
            <w:tcW w:w="1181" w:type="dxa"/>
            <w:tcBorders>
              <w:top w:val="nil"/>
              <w:left w:val="nil"/>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1.29</w:t>
            </w:r>
          </w:p>
        </w:tc>
        <w:tc>
          <w:tcPr>
            <w:tcW w:w="1447" w:type="dxa"/>
            <w:tcBorders>
              <w:top w:val="nil"/>
              <w:left w:val="nil"/>
              <w:bottom w:val="nil"/>
              <w:right w:val="nil"/>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1.33</w:t>
            </w:r>
          </w:p>
        </w:tc>
        <w:tc>
          <w:tcPr>
            <w:tcW w:w="1163" w:type="dxa"/>
            <w:tcBorders>
              <w:top w:val="nil"/>
              <w:left w:val="single" w:sz="4" w:space="0" w:color="auto"/>
              <w:bottom w:val="nil"/>
              <w:right w:val="nil"/>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NA </w:t>
            </w:r>
          </w:p>
        </w:tc>
        <w:tc>
          <w:tcPr>
            <w:tcW w:w="709" w:type="dxa"/>
            <w:tcBorders>
              <w:top w:val="nil"/>
              <w:left w:val="single" w:sz="4" w:space="0" w:color="auto"/>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NA </w:t>
            </w:r>
          </w:p>
        </w:tc>
      </w:tr>
      <w:tr w:rsidR="00DD3538" w:rsidRPr="00F22313" w:rsidTr="0063793E">
        <w:trPr>
          <w:trHeight w:val="285"/>
          <w:jc w:val="center"/>
        </w:trPr>
        <w:tc>
          <w:tcPr>
            <w:tcW w:w="974" w:type="dxa"/>
            <w:tcBorders>
              <w:top w:val="nil"/>
              <w:left w:val="single" w:sz="4" w:space="0" w:color="auto"/>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B </w:t>
            </w:r>
          </w:p>
        </w:tc>
        <w:tc>
          <w:tcPr>
            <w:tcW w:w="1181" w:type="dxa"/>
            <w:tcBorders>
              <w:top w:val="nil"/>
              <w:left w:val="nil"/>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1.56</w:t>
            </w:r>
          </w:p>
        </w:tc>
        <w:tc>
          <w:tcPr>
            <w:tcW w:w="1447" w:type="dxa"/>
            <w:tcBorders>
              <w:top w:val="nil"/>
              <w:left w:val="nil"/>
              <w:bottom w:val="nil"/>
              <w:right w:val="nil"/>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1.62</w:t>
            </w:r>
          </w:p>
        </w:tc>
        <w:tc>
          <w:tcPr>
            <w:tcW w:w="1163" w:type="dxa"/>
            <w:tcBorders>
              <w:top w:val="nil"/>
              <w:left w:val="single" w:sz="4" w:space="0" w:color="auto"/>
              <w:bottom w:val="nil"/>
              <w:right w:val="nil"/>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NA </w:t>
            </w:r>
          </w:p>
        </w:tc>
        <w:tc>
          <w:tcPr>
            <w:tcW w:w="709" w:type="dxa"/>
            <w:tcBorders>
              <w:top w:val="nil"/>
              <w:left w:val="single" w:sz="4" w:space="0" w:color="auto"/>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NA </w:t>
            </w:r>
          </w:p>
        </w:tc>
      </w:tr>
      <w:tr w:rsidR="00DD3538" w:rsidRPr="00F22313" w:rsidTr="0063793E">
        <w:trPr>
          <w:trHeight w:val="285"/>
          <w:jc w:val="center"/>
        </w:trPr>
        <w:tc>
          <w:tcPr>
            <w:tcW w:w="974" w:type="dxa"/>
            <w:tcBorders>
              <w:top w:val="nil"/>
              <w:left w:val="single" w:sz="4" w:space="0" w:color="auto"/>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C </w:t>
            </w:r>
          </w:p>
        </w:tc>
        <w:tc>
          <w:tcPr>
            <w:tcW w:w="1181" w:type="dxa"/>
            <w:tcBorders>
              <w:top w:val="nil"/>
              <w:left w:val="nil"/>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1.84</w:t>
            </w:r>
          </w:p>
        </w:tc>
        <w:tc>
          <w:tcPr>
            <w:tcW w:w="1447" w:type="dxa"/>
            <w:tcBorders>
              <w:top w:val="nil"/>
              <w:left w:val="nil"/>
              <w:bottom w:val="nil"/>
              <w:right w:val="nil"/>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1.90</w:t>
            </w:r>
          </w:p>
        </w:tc>
        <w:tc>
          <w:tcPr>
            <w:tcW w:w="1163" w:type="dxa"/>
            <w:tcBorders>
              <w:top w:val="nil"/>
              <w:left w:val="single" w:sz="4" w:space="0" w:color="auto"/>
              <w:bottom w:val="nil"/>
              <w:right w:val="nil"/>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0.28</w:t>
            </w:r>
          </w:p>
        </w:tc>
        <w:tc>
          <w:tcPr>
            <w:tcW w:w="709" w:type="dxa"/>
            <w:tcBorders>
              <w:top w:val="nil"/>
              <w:left w:val="single" w:sz="4" w:space="0" w:color="auto"/>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17.3%</w:t>
            </w:r>
          </w:p>
        </w:tc>
      </w:tr>
      <w:tr w:rsidR="00DD3538" w:rsidRPr="00F22313" w:rsidTr="0063793E">
        <w:trPr>
          <w:trHeight w:val="285"/>
          <w:jc w:val="center"/>
        </w:trPr>
        <w:tc>
          <w:tcPr>
            <w:tcW w:w="974" w:type="dxa"/>
            <w:tcBorders>
              <w:top w:val="nil"/>
              <w:left w:val="single" w:sz="4" w:space="0" w:color="auto"/>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D </w:t>
            </w:r>
          </w:p>
        </w:tc>
        <w:tc>
          <w:tcPr>
            <w:tcW w:w="1181" w:type="dxa"/>
            <w:tcBorders>
              <w:top w:val="nil"/>
              <w:left w:val="nil"/>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2.04</w:t>
            </w:r>
          </w:p>
        </w:tc>
        <w:tc>
          <w:tcPr>
            <w:tcW w:w="1447" w:type="dxa"/>
            <w:tcBorders>
              <w:top w:val="nil"/>
              <w:left w:val="nil"/>
              <w:bottom w:val="nil"/>
              <w:right w:val="nil"/>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2.11</w:t>
            </w:r>
          </w:p>
        </w:tc>
        <w:tc>
          <w:tcPr>
            <w:tcW w:w="1163" w:type="dxa"/>
            <w:tcBorders>
              <w:top w:val="nil"/>
              <w:left w:val="single" w:sz="4" w:space="0" w:color="auto"/>
              <w:bottom w:val="nil"/>
              <w:right w:val="nil"/>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0.49</w:t>
            </w:r>
          </w:p>
        </w:tc>
        <w:tc>
          <w:tcPr>
            <w:tcW w:w="709" w:type="dxa"/>
            <w:tcBorders>
              <w:top w:val="nil"/>
              <w:left w:val="single" w:sz="4" w:space="0" w:color="auto"/>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30.2%</w:t>
            </w:r>
          </w:p>
        </w:tc>
      </w:tr>
      <w:tr w:rsidR="00DD3538" w:rsidRPr="00F22313" w:rsidTr="0063793E">
        <w:trPr>
          <w:trHeight w:val="285"/>
          <w:jc w:val="center"/>
        </w:trPr>
        <w:tc>
          <w:tcPr>
            <w:tcW w:w="974" w:type="dxa"/>
            <w:tcBorders>
              <w:top w:val="nil"/>
              <w:left w:val="single" w:sz="4" w:space="0" w:color="auto"/>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E </w:t>
            </w:r>
          </w:p>
        </w:tc>
        <w:tc>
          <w:tcPr>
            <w:tcW w:w="1181" w:type="dxa"/>
            <w:tcBorders>
              <w:top w:val="nil"/>
              <w:left w:val="nil"/>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2.25</w:t>
            </w:r>
          </w:p>
        </w:tc>
        <w:tc>
          <w:tcPr>
            <w:tcW w:w="1447" w:type="dxa"/>
            <w:tcBorders>
              <w:top w:val="nil"/>
              <w:left w:val="nil"/>
              <w:bottom w:val="nil"/>
              <w:right w:val="nil"/>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2.33</w:t>
            </w:r>
          </w:p>
        </w:tc>
        <w:tc>
          <w:tcPr>
            <w:tcW w:w="1163" w:type="dxa"/>
            <w:tcBorders>
              <w:top w:val="nil"/>
              <w:left w:val="single" w:sz="4" w:space="0" w:color="auto"/>
              <w:bottom w:val="nil"/>
              <w:right w:val="nil"/>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0.71</w:t>
            </w:r>
          </w:p>
        </w:tc>
        <w:tc>
          <w:tcPr>
            <w:tcW w:w="709" w:type="dxa"/>
            <w:tcBorders>
              <w:top w:val="nil"/>
              <w:left w:val="single" w:sz="4" w:space="0" w:color="auto"/>
              <w:bottom w:val="nil"/>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43.8%</w:t>
            </w:r>
          </w:p>
        </w:tc>
      </w:tr>
      <w:tr w:rsidR="00DD3538" w:rsidRPr="00F22313" w:rsidTr="0063793E">
        <w:trPr>
          <w:trHeight w:val="285"/>
          <w:jc w:val="center"/>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 xml:space="preserve"> E</w:t>
            </w:r>
            <w:r>
              <w:rPr>
                <w:sz w:val="20"/>
                <w:szCs w:val="20"/>
              </w:rPr>
              <w:t>+</w:t>
            </w:r>
            <w:r w:rsidRPr="00F22313">
              <w:rPr>
                <w:sz w:val="20"/>
                <w:szCs w:val="20"/>
              </w:rPr>
              <w:t xml:space="preserve">10% </w:t>
            </w:r>
          </w:p>
        </w:tc>
        <w:tc>
          <w:tcPr>
            <w:tcW w:w="1181" w:type="dxa"/>
            <w:tcBorders>
              <w:top w:val="nil"/>
              <w:left w:val="nil"/>
              <w:bottom w:val="single" w:sz="4" w:space="0" w:color="auto"/>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2.48</w:t>
            </w:r>
          </w:p>
        </w:tc>
        <w:tc>
          <w:tcPr>
            <w:tcW w:w="1447" w:type="dxa"/>
            <w:tcBorders>
              <w:top w:val="nil"/>
              <w:left w:val="nil"/>
              <w:bottom w:val="single" w:sz="4" w:space="0" w:color="auto"/>
              <w:right w:val="nil"/>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2.56</w:t>
            </w:r>
          </w:p>
        </w:tc>
        <w:tc>
          <w:tcPr>
            <w:tcW w:w="1163" w:type="dxa"/>
            <w:tcBorders>
              <w:top w:val="nil"/>
              <w:left w:val="single" w:sz="4" w:space="0" w:color="auto"/>
              <w:bottom w:val="single" w:sz="4" w:space="0" w:color="auto"/>
              <w:right w:val="nil"/>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0.94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D3538" w:rsidRPr="00F22313" w:rsidRDefault="00DD3538" w:rsidP="0063793E">
            <w:pPr>
              <w:spacing w:line="240" w:lineRule="auto"/>
              <w:jc w:val="center"/>
              <w:rPr>
                <w:sz w:val="20"/>
                <w:szCs w:val="20"/>
              </w:rPr>
            </w:pPr>
            <w:r w:rsidRPr="00F22313">
              <w:rPr>
                <w:sz w:val="20"/>
                <w:szCs w:val="20"/>
              </w:rPr>
              <w:t>58.0%</w:t>
            </w:r>
          </w:p>
        </w:tc>
      </w:tr>
    </w:tbl>
    <w:p w:rsidR="00DD3538" w:rsidRPr="007C5975" w:rsidRDefault="00DD3538" w:rsidP="00DD3538">
      <w:pPr>
        <w:spacing w:line="240" w:lineRule="auto"/>
        <w:jc w:val="center"/>
        <w:rPr>
          <w:sz w:val="20"/>
          <w:szCs w:val="20"/>
        </w:rPr>
      </w:pPr>
      <w:r w:rsidRPr="00F22313">
        <w:rPr>
          <w:sz w:val="20"/>
          <w:szCs w:val="20"/>
        </w:rPr>
        <w:t>Source: NJ Department of Labor &amp; Workforce Development.</w:t>
      </w:r>
    </w:p>
    <w:p w:rsidR="00DD3538" w:rsidRPr="007C5975" w:rsidRDefault="00DD3538" w:rsidP="00DD3538"/>
    <w:p w:rsidR="00DD3538" w:rsidRPr="007C5975" w:rsidRDefault="00DD3538" w:rsidP="00DD3538">
      <w:pPr>
        <w:tabs>
          <w:tab w:val="left" w:pos="360"/>
        </w:tabs>
      </w:pPr>
      <w:r>
        <w:tab/>
      </w:r>
      <w:r w:rsidRPr="007C5975">
        <w:t>According to the table shown above, an</w:t>
      </w:r>
      <w:r>
        <w:t>d assuming that all else remains</w:t>
      </w:r>
      <w:r w:rsidRPr="007C5975">
        <w:t xml:space="preserve"> unchanged, the OLS notes that the “C” schedule in FY 2022 w</w:t>
      </w:r>
      <w:r>
        <w:t>ill</w:t>
      </w:r>
      <w:r w:rsidRPr="007C5975">
        <w:t xml:space="preserve"> result</w:t>
      </w:r>
      <w:r>
        <w:t xml:space="preserve"> in</w:t>
      </w:r>
      <w:r w:rsidRPr="007C5975">
        <w:t xml:space="preserve"> $1.90 billion in UI employer tax collection</w:t>
      </w:r>
      <w:r>
        <w:t xml:space="preserve"> for that year.  C</w:t>
      </w:r>
      <w:r w:rsidRPr="007C5975">
        <w:t>onsequently</w:t>
      </w:r>
      <w:r>
        <w:t>, if the bill is enacted, keeping the schedule in the “C” column will result in</w:t>
      </w:r>
      <w:r w:rsidRPr="007C5975">
        <w:t xml:space="preserve"> a decrease in UI tax revenue of $660 million as compared to </w:t>
      </w:r>
      <w:r>
        <w:t xml:space="preserve">the </w:t>
      </w:r>
      <w:r w:rsidRPr="007C5975">
        <w:t xml:space="preserve">$2.56 billion that would have been </w:t>
      </w:r>
      <w:r>
        <w:t xml:space="preserve">otherwise </w:t>
      </w:r>
      <w:r w:rsidRPr="007C5975">
        <w:t xml:space="preserve">realized under the “E” plus 10% schedule.  </w:t>
      </w:r>
      <w:r>
        <w:t>Keeping t</w:t>
      </w:r>
      <w:r w:rsidRPr="007C5975">
        <w:t>he “D” schedule in FY 2023 w</w:t>
      </w:r>
      <w:r>
        <w:t>ill</w:t>
      </w:r>
      <w:r w:rsidRPr="007C5975">
        <w:t xml:space="preserve"> likely result in $450 million less than what would have been</w:t>
      </w:r>
      <w:r>
        <w:t xml:space="preserve"> otherwise</w:t>
      </w:r>
      <w:r w:rsidRPr="007C5975">
        <w:t xml:space="preserve"> realized under the “E” plus 10% schedule.  </w:t>
      </w:r>
      <w:r>
        <w:t>And f</w:t>
      </w:r>
      <w:r w:rsidRPr="007C5975">
        <w:t xml:space="preserve">or FY 2024, the “E” schedule </w:t>
      </w:r>
      <w:r>
        <w:t>will</w:t>
      </w:r>
      <w:r w:rsidRPr="007C5975">
        <w:t xml:space="preserve"> likely result in a decrease in UI tax revenue of about $230 million as compared to what would have been</w:t>
      </w:r>
      <w:r>
        <w:t xml:space="preserve"> otherwise</w:t>
      </w:r>
      <w:r w:rsidRPr="007C5975">
        <w:t xml:space="preserve"> realized under the “E” plus 10% schedule.  </w:t>
      </w:r>
    </w:p>
    <w:p w:rsidR="00DD3538" w:rsidRDefault="00DD3538" w:rsidP="00DD3538">
      <w:r>
        <w:t xml:space="preserve">      </w:t>
      </w:r>
      <w:r w:rsidRPr="007C5975">
        <w:t xml:space="preserve">The OLS estimates that the </w:t>
      </w:r>
      <w:r>
        <w:t>bill would thereby reduce</w:t>
      </w:r>
      <w:r w:rsidRPr="007C5975">
        <w:t xml:space="preserve">, over the three fiscal years, the total amount of employer UI taxes by </w:t>
      </w:r>
      <w:r>
        <w:t>at least</w:t>
      </w:r>
      <w:r w:rsidRPr="007C5975">
        <w:t xml:space="preserve"> $1.34 billion. </w:t>
      </w:r>
      <w:r>
        <w:t xml:space="preserve">  Moreover, the OLS notes that the bill will result in additional, potentially significant, decreases in revenue to the UI fund by providing that </w:t>
      </w:r>
      <w:r>
        <w:lastRenderedPageBreak/>
        <w:t xml:space="preserve">all UI benefits paid during the emergency are to be excluded when calculating the individual employer reserve ratio, which is the other component of the UI Fund’s funding formula.  </w:t>
      </w:r>
    </w:p>
    <w:p w:rsidR="00DD3538" w:rsidRPr="007C5975" w:rsidRDefault="00DD3538" w:rsidP="00DD3538">
      <w:r>
        <w:t xml:space="preserve">      The OLS expects that the totality of the revenue reductions will make the State reliant on federal loans to be able to pay UI benefits.</w:t>
      </w:r>
      <w:r>
        <w:rPr>
          <w:sz w:val="22"/>
          <w:szCs w:val="22"/>
        </w:rPr>
        <w:t xml:space="preserve">  </w:t>
      </w:r>
      <w:r>
        <w:t>T</w:t>
      </w:r>
      <w:r w:rsidRPr="007C5975">
        <w:t xml:space="preserve">he </w:t>
      </w:r>
      <w:r>
        <w:t>DOLWD</w:t>
      </w:r>
      <w:r w:rsidRPr="007C5975">
        <w:t xml:space="preserve"> </w:t>
      </w:r>
      <w:r>
        <w:t xml:space="preserve">currently </w:t>
      </w:r>
      <w:r w:rsidRPr="007C5975">
        <w:t>proj</w:t>
      </w:r>
      <w:r>
        <w:t>ects that the State’s UI f</w:t>
      </w:r>
      <w:r w:rsidRPr="007C5975">
        <w:t xml:space="preserve">und will have net borrowings from the federal government of $1.9 billion as </w:t>
      </w:r>
      <w:r>
        <w:t>of April</w:t>
      </w:r>
      <w:r w:rsidRPr="007C5975">
        <w:t xml:space="preserve"> 2021</w:t>
      </w:r>
      <w:r>
        <w:t xml:space="preserve"> and that they</w:t>
      </w:r>
      <w:r w:rsidRPr="007C5975">
        <w:t xml:space="preserve"> will be reduced to $1.6 billion by the end of CY</w:t>
      </w:r>
      <w:r>
        <w:t xml:space="preserve"> 2021.  H</w:t>
      </w:r>
      <w:r w:rsidRPr="007C5975">
        <w:t>owever, that is premised on</w:t>
      </w:r>
      <w:r>
        <w:t xml:space="preserve"> the current statutory employer contribution tax rate.  Under the bill, net federal borrowing is likely to see little to</w:t>
      </w:r>
      <w:r w:rsidRPr="007C5975">
        <w:t xml:space="preserve"> no reduction </w:t>
      </w:r>
      <w:r>
        <w:t>in CY 2021 or during the three years that revenues are reduced under this bill</w:t>
      </w:r>
      <w:r w:rsidRPr="007C5975">
        <w:t xml:space="preserve">.  </w:t>
      </w:r>
      <w:r>
        <w:t xml:space="preserve">Beginning in FY 2025, employer contribution rates will return to their statutory levels and will remain there until the UI Fund’s reserve is replenished and federal borrowings are repaid.  It is not known how many years this will take.   </w:t>
      </w:r>
      <w:r>
        <w:tab/>
      </w:r>
    </w:p>
    <w:p w:rsidR="00DD3538" w:rsidRPr="007C5975" w:rsidRDefault="00DD3538" w:rsidP="00DD3538"/>
    <w:p w:rsidR="00DD3538" w:rsidRPr="007C5975" w:rsidRDefault="00DD3538" w:rsidP="00DD3538">
      <w:r w:rsidRPr="007C5975">
        <w:rPr>
          <w:b/>
          <w:u w:val="single"/>
        </w:rPr>
        <w:t>Cost Savings to Governmental Employers:</w:t>
      </w:r>
    </w:p>
    <w:p w:rsidR="00DD3538" w:rsidRPr="007C5975" w:rsidRDefault="00DD3538" w:rsidP="00DD3538">
      <w:pPr>
        <w:tabs>
          <w:tab w:val="left" w:pos="360"/>
          <w:tab w:val="left" w:pos="720"/>
          <w:tab w:val="left" w:pos="1440"/>
          <w:tab w:val="left" w:pos="2160"/>
          <w:tab w:val="left" w:pos="2880"/>
          <w:tab w:val="left" w:pos="3600"/>
          <w:tab w:val="left" w:pos="4320"/>
          <w:tab w:val="left" w:pos="5040"/>
        </w:tabs>
      </w:pPr>
      <w:r w:rsidRPr="007C5975">
        <w:tab/>
        <w:t xml:space="preserve">The OLS further notes that this bill may result in cost savings to potentially all State entities, public institutions of higher education, local governments, and school districts tied to </w:t>
      </w:r>
      <w:r>
        <w:t>reduced liabilities</w:t>
      </w:r>
      <w:r w:rsidRPr="007C5975">
        <w:t xml:space="preserve"> to the UI fund for </w:t>
      </w:r>
      <w:r>
        <w:t>those employers</w:t>
      </w:r>
      <w:r w:rsidRPr="007C5975">
        <w:t xml:space="preserve"> that choose to not pay contributions to the unemployment UI fund on annual basis, but</w:t>
      </w:r>
      <w:r>
        <w:t xml:space="preserve"> instead reimburse the UI </w:t>
      </w:r>
      <w:r w:rsidRPr="007C5975">
        <w:t xml:space="preserve">fund for UI benefits paid to laid off employees on a dollar for dollar basis. </w:t>
      </w:r>
      <w:r>
        <w:t xml:space="preserve"> Given that during the Covid-19 emergency</w:t>
      </w:r>
      <w:r w:rsidRPr="007C5975">
        <w:t xml:space="preserve">, federal funds from the </w:t>
      </w:r>
      <w:r>
        <w:rPr>
          <w:sz w:val="23"/>
          <w:szCs w:val="23"/>
        </w:rPr>
        <w:t>CARES</w:t>
      </w:r>
      <w:r w:rsidRPr="0001328C">
        <w:rPr>
          <w:sz w:val="23"/>
          <w:szCs w:val="23"/>
        </w:rPr>
        <w:t xml:space="preserve"> Act</w:t>
      </w:r>
      <w:r w:rsidRPr="007C5975">
        <w:t xml:space="preserve"> are paying</w:t>
      </w:r>
      <w:r>
        <w:t xml:space="preserve"> for 50% of the </w:t>
      </w:r>
      <w:r w:rsidRPr="00CB46F8">
        <w:t>liability for payments in lieu of contributions with respect to unemployment benefits paid to employees laid off by the employer</w:t>
      </w:r>
      <w:r>
        <w:t xml:space="preserve">, </w:t>
      </w:r>
      <w:r w:rsidRPr="0001328C">
        <w:rPr>
          <w:sz w:val="23"/>
          <w:szCs w:val="23"/>
        </w:rPr>
        <w:t xml:space="preserve">the bill’s payment </w:t>
      </w:r>
      <w:r>
        <w:rPr>
          <w:sz w:val="23"/>
          <w:szCs w:val="23"/>
        </w:rPr>
        <w:t xml:space="preserve">provision </w:t>
      </w:r>
      <w:r w:rsidRPr="0001328C">
        <w:rPr>
          <w:sz w:val="23"/>
          <w:szCs w:val="23"/>
        </w:rPr>
        <w:t>of 50% of the costs wil</w:t>
      </w:r>
      <w:r>
        <w:rPr>
          <w:sz w:val="23"/>
          <w:szCs w:val="23"/>
        </w:rPr>
        <w:t xml:space="preserve">l result in potential savings for those employers who would otherwise be liable for payments with respect to 100% of the payments of unemployment compensation benefits made by the UI fund to their employees.  </w:t>
      </w:r>
      <w:r w:rsidRPr="007C5975">
        <w:t>Currently, there are 1,164 active governmental reimbursable employers</w:t>
      </w:r>
      <w:r>
        <w:t xml:space="preserve"> in the State</w:t>
      </w:r>
      <w:r w:rsidRPr="007C5975">
        <w:t xml:space="preserve">. </w:t>
      </w:r>
    </w:p>
    <w:p w:rsidR="00DD3538" w:rsidRDefault="00DD3538" w:rsidP="00DD3538"/>
    <w:p w:rsidR="00DD3538" w:rsidRDefault="00DD3538" w:rsidP="00DD3538"/>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D3538" w:rsidTr="0063793E">
        <w:trPr>
          <w:trHeight w:val="403"/>
        </w:trPr>
        <w:tc>
          <w:tcPr>
            <w:tcW w:w="1260" w:type="dxa"/>
            <w:tcBorders>
              <w:top w:val="nil"/>
              <w:left w:val="nil"/>
              <w:bottom w:val="nil"/>
              <w:right w:val="nil"/>
            </w:tcBorders>
          </w:tcPr>
          <w:p w:rsidR="00DD3538" w:rsidRDefault="00DD3538" w:rsidP="0063793E">
            <w:pPr>
              <w:pStyle w:val="10pointItalics"/>
              <w:rPr>
                <w:sz w:val="24"/>
              </w:rPr>
            </w:pPr>
            <w:r>
              <w:t>Section:</w:t>
            </w:r>
          </w:p>
        </w:tc>
        <w:tc>
          <w:tcPr>
            <w:tcW w:w="8100" w:type="dxa"/>
            <w:tcBorders>
              <w:top w:val="nil"/>
              <w:left w:val="nil"/>
              <w:bottom w:val="nil"/>
              <w:right w:val="nil"/>
            </w:tcBorders>
          </w:tcPr>
          <w:p w:rsidR="00DD3538" w:rsidRDefault="00DD3538" w:rsidP="0063793E">
            <w:pPr>
              <w:pStyle w:val="10pointItalics"/>
              <w:rPr>
                <w:sz w:val="24"/>
              </w:rPr>
            </w:pPr>
            <w:r>
              <w:t>Commerce, Labor and Industry</w:t>
            </w:r>
          </w:p>
        </w:tc>
      </w:tr>
      <w:tr w:rsidR="00DD3538" w:rsidTr="0063793E">
        <w:trPr>
          <w:trHeight w:val="403"/>
        </w:trPr>
        <w:tc>
          <w:tcPr>
            <w:tcW w:w="1260" w:type="dxa"/>
            <w:tcBorders>
              <w:top w:val="nil"/>
              <w:left w:val="nil"/>
              <w:bottom w:val="nil"/>
              <w:right w:val="nil"/>
            </w:tcBorders>
          </w:tcPr>
          <w:p w:rsidR="00DD3538" w:rsidRDefault="00DD3538" w:rsidP="0063793E">
            <w:pPr>
              <w:pStyle w:val="10pointItalics"/>
              <w:rPr>
                <w:sz w:val="24"/>
              </w:rPr>
            </w:pPr>
            <w:r>
              <w:t>Analysts:</w:t>
            </w:r>
          </w:p>
        </w:tc>
        <w:tc>
          <w:tcPr>
            <w:tcW w:w="8100" w:type="dxa"/>
            <w:tcBorders>
              <w:top w:val="nil"/>
              <w:left w:val="nil"/>
              <w:bottom w:val="nil"/>
              <w:right w:val="nil"/>
            </w:tcBorders>
          </w:tcPr>
          <w:p w:rsidR="00DD3538" w:rsidRDefault="00DD3538" w:rsidP="0063793E">
            <w:pPr>
              <w:pStyle w:val="10pointItalics"/>
            </w:pPr>
            <w:bookmarkStart w:id="2" w:name="UserFullName"/>
            <w:bookmarkEnd w:id="2"/>
            <w:r>
              <w:t xml:space="preserve">Juan C. Rodriguez </w:t>
            </w:r>
          </w:p>
          <w:p w:rsidR="00DD3538" w:rsidRPr="00C443DC" w:rsidRDefault="00DD3538" w:rsidP="0063793E">
            <w:pPr>
              <w:pStyle w:val="10pointItalics"/>
            </w:pPr>
            <w:r>
              <w:t>Senior Fiscal Analyst</w:t>
            </w:r>
          </w:p>
          <w:p w:rsidR="00DD3538" w:rsidRDefault="00DD3538" w:rsidP="0063793E">
            <w:pPr>
              <w:pStyle w:val="10pointItalics"/>
            </w:pPr>
            <w:r>
              <w:t>Gregory  L. Williams</w:t>
            </w:r>
          </w:p>
          <w:p w:rsidR="00DD3538" w:rsidRPr="00C443DC" w:rsidRDefault="00DD3538" w:rsidP="0063793E">
            <w:pPr>
              <w:pStyle w:val="10pointItalics"/>
            </w:pPr>
            <w:r>
              <w:t>Principal Research Analyst</w:t>
            </w:r>
          </w:p>
        </w:tc>
      </w:tr>
      <w:tr w:rsidR="00DD3538" w:rsidTr="0063793E">
        <w:trPr>
          <w:trHeight w:val="403"/>
        </w:trPr>
        <w:tc>
          <w:tcPr>
            <w:tcW w:w="1260" w:type="dxa"/>
            <w:tcBorders>
              <w:top w:val="nil"/>
              <w:left w:val="nil"/>
              <w:bottom w:val="nil"/>
              <w:right w:val="nil"/>
            </w:tcBorders>
            <w:tcMar>
              <w:top w:w="72" w:type="dxa"/>
            </w:tcMar>
          </w:tcPr>
          <w:p w:rsidR="00DD3538" w:rsidRDefault="00DD3538" w:rsidP="0063793E">
            <w:pPr>
              <w:pStyle w:val="10pointItalics"/>
              <w:rPr>
                <w:sz w:val="24"/>
              </w:rPr>
            </w:pPr>
            <w:r>
              <w:t>Approved:</w:t>
            </w:r>
          </w:p>
        </w:tc>
        <w:tc>
          <w:tcPr>
            <w:tcW w:w="8100" w:type="dxa"/>
            <w:tcBorders>
              <w:top w:val="nil"/>
              <w:left w:val="nil"/>
              <w:bottom w:val="nil"/>
              <w:right w:val="nil"/>
            </w:tcBorders>
            <w:tcMar>
              <w:top w:w="72" w:type="dxa"/>
            </w:tcMar>
          </w:tcPr>
          <w:p w:rsidR="003E2579" w:rsidRDefault="003E2579" w:rsidP="003E2579">
            <w:pPr>
              <w:pStyle w:val="10pointItalics"/>
            </w:pPr>
            <w:r>
              <w:t>Thomas Koenig</w:t>
            </w:r>
          </w:p>
          <w:p w:rsidR="00DD3538" w:rsidRDefault="003E2579" w:rsidP="003E2579">
            <w:pPr>
              <w:pStyle w:val="10pointItalics"/>
              <w:rPr>
                <w:sz w:val="24"/>
              </w:rPr>
            </w:pPr>
            <w:r>
              <w:t>Assistant Legislative Budget and Finance Officer</w:t>
            </w:r>
          </w:p>
        </w:tc>
      </w:tr>
    </w:tbl>
    <w:p w:rsidR="00EF17BC" w:rsidRDefault="00EF17BC" w:rsidP="00EF17BC">
      <w:pPr>
        <w:spacing w:line="287" w:lineRule="atLeast"/>
      </w:pPr>
    </w:p>
    <w:p w:rsidR="006F52A1" w:rsidRDefault="006F52A1" w:rsidP="00EF17BC">
      <w:pPr>
        <w:spacing w:line="287" w:lineRule="atLeast"/>
      </w:pPr>
    </w:p>
    <w:p w:rsidR="00EF17BC" w:rsidRDefault="00683DE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83DE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DE3" w:rsidRDefault="00683DE3">
      <w:r>
        <w:separator/>
      </w:r>
    </w:p>
  </w:endnote>
  <w:endnote w:type="continuationSeparator" w:id="0">
    <w:p w:rsidR="00683DE3" w:rsidRDefault="00683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0591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11599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DE3" w:rsidRDefault="00683DE3">
      <w:r>
        <w:separator/>
      </w:r>
    </w:p>
  </w:footnote>
  <w:footnote w:type="continuationSeparator" w:id="0">
    <w:p w:rsidR="00683DE3" w:rsidRDefault="00683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DE3" w:rsidRDefault="00683DE3" w:rsidP="00683DE3">
    <w:pPr>
      <w:pStyle w:val="Header"/>
      <w:jc w:val="center"/>
    </w:pPr>
    <w:r>
      <w:t xml:space="preserve">FE to S3011 </w:t>
    </w:r>
  </w:p>
  <w:p w:rsidR="00683DE3" w:rsidRDefault="00683DE3" w:rsidP="00683DE3">
    <w:pPr>
      <w:pStyle w:val="Header"/>
      <w:jc w:val="center"/>
    </w:pPr>
    <w:r>
      <w:fldChar w:fldCharType="begin"/>
    </w:r>
    <w:r>
      <w:instrText xml:space="preserve"> PAGE  \* MERGEFORMAT </w:instrText>
    </w:r>
    <w:r>
      <w:fldChar w:fldCharType="separate"/>
    </w:r>
    <w:r w:rsidR="00A05910">
      <w:rPr>
        <w:noProof/>
      </w:rPr>
      <w:t>4</w:t>
    </w:r>
    <w:r>
      <w:fldChar w:fldCharType="end"/>
    </w:r>
  </w:p>
  <w:p w:rsidR="00683DE3" w:rsidRDefault="00683DE3" w:rsidP="00683D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DE3"/>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09E5"/>
    <w:rsid w:val="00172CF5"/>
    <w:rsid w:val="001907A1"/>
    <w:rsid w:val="00193C26"/>
    <w:rsid w:val="00194789"/>
    <w:rsid w:val="00197240"/>
    <w:rsid w:val="001B1D4B"/>
    <w:rsid w:val="001B2BA9"/>
    <w:rsid w:val="001D0C90"/>
    <w:rsid w:val="001D3FD4"/>
    <w:rsid w:val="001E5F42"/>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2F6ED6"/>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2579"/>
    <w:rsid w:val="00407C9E"/>
    <w:rsid w:val="0041022E"/>
    <w:rsid w:val="004149CC"/>
    <w:rsid w:val="00485323"/>
    <w:rsid w:val="00487ED8"/>
    <w:rsid w:val="004911CB"/>
    <w:rsid w:val="00491918"/>
    <w:rsid w:val="004A10CD"/>
    <w:rsid w:val="004A2E7F"/>
    <w:rsid w:val="004A5A65"/>
    <w:rsid w:val="004B1485"/>
    <w:rsid w:val="004B46DD"/>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33BF"/>
    <w:rsid w:val="00570997"/>
    <w:rsid w:val="00577AA8"/>
    <w:rsid w:val="005850CE"/>
    <w:rsid w:val="005A6D23"/>
    <w:rsid w:val="005C1947"/>
    <w:rsid w:val="005C1E9D"/>
    <w:rsid w:val="005E03E7"/>
    <w:rsid w:val="005E75AB"/>
    <w:rsid w:val="00601F73"/>
    <w:rsid w:val="00625D15"/>
    <w:rsid w:val="00651611"/>
    <w:rsid w:val="00653AE2"/>
    <w:rsid w:val="006671C7"/>
    <w:rsid w:val="00683DE3"/>
    <w:rsid w:val="006917CF"/>
    <w:rsid w:val="00692BD4"/>
    <w:rsid w:val="006B22F3"/>
    <w:rsid w:val="006B2FD5"/>
    <w:rsid w:val="006B5C2D"/>
    <w:rsid w:val="006B6C16"/>
    <w:rsid w:val="006D6F6C"/>
    <w:rsid w:val="006F239A"/>
    <w:rsid w:val="006F505D"/>
    <w:rsid w:val="006F52A1"/>
    <w:rsid w:val="006F7203"/>
    <w:rsid w:val="00722AEF"/>
    <w:rsid w:val="00737A6C"/>
    <w:rsid w:val="00743F01"/>
    <w:rsid w:val="00744AE4"/>
    <w:rsid w:val="00763D60"/>
    <w:rsid w:val="007833B1"/>
    <w:rsid w:val="007920AC"/>
    <w:rsid w:val="00796BFB"/>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2D9E"/>
    <w:rsid w:val="00973C29"/>
    <w:rsid w:val="009B14F4"/>
    <w:rsid w:val="009B1B0D"/>
    <w:rsid w:val="009B1C3D"/>
    <w:rsid w:val="009B32DD"/>
    <w:rsid w:val="009C005A"/>
    <w:rsid w:val="009D4BC2"/>
    <w:rsid w:val="009D5E5F"/>
    <w:rsid w:val="009D62B4"/>
    <w:rsid w:val="009E1448"/>
    <w:rsid w:val="009E3E41"/>
    <w:rsid w:val="00A05910"/>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043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538"/>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25C5"/>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BB33169-052A-46FB-98B1-FF066DF10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1E5F42"/>
    <w:pPr>
      <w:tabs>
        <w:tab w:val="left" w:pos="288"/>
      </w:tabs>
    </w:pPr>
    <w:rPr>
      <w:szCs w:val="20"/>
    </w:rPr>
  </w:style>
  <w:style w:type="paragraph" w:styleId="BalloonText">
    <w:name w:val="Balloon Text"/>
    <w:basedOn w:val="Normal"/>
    <w:link w:val="BalloonTextChar"/>
    <w:semiHidden/>
    <w:unhideWhenUsed/>
    <w:rsid w:val="00B304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04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1709</Words>
  <Characters>8788</Characters>
  <Application>Microsoft Office Word</Application>
  <DocSecurity>0</DocSecurity>
  <Lines>241</Lines>
  <Paragraphs>105</Paragraphs>
  <ScaleCrop>false</ScaleCrop>
  <HeadingPairs>
    <vt:vector size="2" baseType="variant">
      <vt:variant>
        <vt:lpstr>Title</vt:lpstr>
      </vt:variant>
      <vt:variant>
        <vt:i4>1</vt:i4>
      </vt:variant>
    </vt:vector>
  </HeadingPairs>
  <TitlesOfParts>
    <vt:vector size="1" baseType="lpstr">
      <vt:lpstr>S3011   FISCAL ESTIMATE</vt:lpstr>
    </vt:vector>
  </TitlesOfParts>
  <Manager>Juan C. Rodriguez ;R211</Manager>
  <Company>Office of Legislative Services</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S3011 FISCAL ESTIMATE</dc:title>
  <dc:creator>Senator MADDEN Senator SWEENEY</dc:creator>
  <cp:keywords>S3011|4|CL |289|289|0|!||</cp:keywords>
  <dc:description>Sent to Sponsor 11/12</dc:description>
  <cp:lastModifiedBy>Sommers, Shelly</cp:lastModifiedBy>
  <cp:revision>2</cp:revision>
  <cp:lastPrinted>2020-11-17T15:54:00Z</cp:lastPrinted>
  <dcterms:created xsi:type="dcterms:W3CDTF">2020-11-17T15:59:00Z</dcterms:created>
  <dcterms:modified xsi:type="dcterms:W3CDTF">2020-11-17T15:59:00Z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