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14FEE" w:rsidP="00407C9E">
      <w:pPr>
        <w:pStyle w:val="NoteOrEstimate"/>
      </w:pPr>
      <w:r>
        <w:t>LEGISLATIVE FISCAL ESTIMATE</w:t>
      </w:r>
    </w:p>
    <w:p w:rsidR="003C5892" w:rsidRDefault="00314FE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1521" w:rsidP="00991521">
      <w:pPr>
        <w:pStyle w:val="BillNo"/>
      </w:pPr>
      <w:r>
        <w:t>219th LEGISLATURE</w:t>
      </w:r>
    </w:p>
    <w:p w:rsidR="00353325" w:rsidRDefault="00353325" w:rsidP="00353325"/>
    <w:p w:rsidR="00991521" w:rsidRDefault="00991521" w:rsidP="00991521">
      <w:pPr>
        <w:jc w:val="center"/>
      </w:pPr>
      <w:r>
        <w:t>DATED: NOVEMBER 9, 2020</w:t>
      </w:r>
    </w:p>
    <w:p w:rsidR="00991521" w:rsidRDefault="00991521" w:rsidP="00353325"/>
    <w:p w:rsidR="00991521" w:rsidRDefault="0099152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23CCB" w:rsidP="00515AC5">
            <w:r w:rsidRPr="00223CCB">
              <w:t>Provides temporary corporation business tax and gross income tax credits for job creation related to manufacturing of personal protective equipment.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1595B" w:rsidP="00B1595B">
            <w:r w:rsidRPr="007C7576">
              <w:t>M</w:t>
            </w:r>
            <w:r w:rsidRPr="00B52637">
              <w:t>ulti-year</w:t>
            </w:r>
            <w:r w:rsidR="007C7576" w:rsidRPr="00B52637">
              <w:t xml:space="preserve"> </w:t>
            </w:r>
            <w:r w:rsidRPr="00B52637">
              <w:t>State</w:t>
            </w:r>
            <w:r>
              <w:t xml:space="preserve"> r</w:t>
            </w:r>
            <w:r w:rsidR="00223CCB">
              <w:t xml:space="preserve">evenue loss to </w:t>
            </w:r>
            <w:r>
              <w:t xml:space="preserve">the </w:t>
            </w:r>
            <w:r w:rsidR="00223CCB">
              <w:t>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23CCB" w:rsidP="00223CCB">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0601E8" w:rsidRDefault="000601E8"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0601E8" w:rsidTr="00133D2D">
        <w:trPr>
          <w:trHeight w:val="410"/>
        </w:trPr>
        <w:tc>
          <w:tcPr>
            <w:tcW w:w="9375" w:type="dxa"/>
            <w:gridSpan w:val="5"/>
            <w:tcBorders>
              <w:top w:val="nil"/>
              <w:left w:val="nil"/>
              <w:bottom w:val="nil"/>
              <w:right w:val="nil"/>
            </w:tcBorders>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0601E8" w:rsidTr="00133D2D">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601E8" w:rsidTr="00133D2D">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601E8" w:rsidRPr="00F11982" w:rsidRDefault="000601E8" w:rsidP="00133D2D">
            <w:pPr>
              <w:tabs>
                <w:tab w:val="left" w:pos="360"/>
                <w:tab w:val="left" w:pos="720"/>
                <w:tab w:val="left" w:pos="1440"/>
                <w:tab w:val="left" w:pos="2160"/>
                <w:tab w:val="left" w:pos="2880"/>
                <w:tab w:val="left" w:pos="3600"/>
                <w:tab w:val="left" w:pos="4320"/>
                <w:tab w:val="left" w:pos="5040"/>
              </w:tabs>
              <w:jc w:val="left"/>
              <w:rPr>
                <w:b/>
              </w:rPr>
            </w:pPr>
            <w:r>
              <w:rPr>
                <w:b/>
              </w:rPr>
              <w:t xml:space="preserve">State </w:t>
            </w:r>
            <w:r w:rsidRPr="00F11982">
              <w:rPr>
                <w:b/>
              </w:rPr>
              <w:t>Revenue</w:t>
            </w:r>
            <w:r>
              <w:rPr>
                <w:b/>
              </w:rPr>
              <w:t xml:space="preserve"> Loss</w:t>
            </w:r>
          </w:p>
        </w:tc>
        <w:tc>
          <w:tcPr>
            <w:tcW w:w="6670" w:type="dxa"/>
            <w:gridSpan w:val="3"/>
            <w:tcBorders>
              <w:top w:val="nil"/>
              <w:left w:val="nil"/>
              <w:bottom w:val="nil"/>
              <w:right w:val="single" w:sz="6" w:space="0" w:color="auto"/>
            </w:tcBorders>
            <w:tcMar>
              <w:bottom w:w="29" w:type="dxa"/>
            </w:tcMar>
            <w:vAlign w:val="bottom"/>
          </w:tcPr>
          <w:p w:rsidR="000601E8" w:rsidRDefault="000601E8" w:rsidP="00133D2D">
            <w:pPr>
              <w:tabs>
                <w:tab w:val="left" w:pos="360"/>
                <w:tab w:val="left" w:pos="720"/>
                <w:tab w:val="left" w:pos="1440"/>
                <w:tab w:val="left" w:pos="2160"/>
                <w:tab w:val="left" w:pos="2880"/>
                <w:tab w:val="left" w:pos="3600"/>
                <w:tab w:val="left" w:pos="4320"/>
                <w:tab w:val="left" w:pos="5040"/>
              </w:tabs>
            </w:pPr>
            <w:r>
              <w:t xml:space="preserve">                                     Indeterminate</w:t>
            </w:r>
          </w:p>
        </w:tc>
      </w:tr>
      <w:tr w:rsidR="000601E8" w:rsidTr="00133D2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601E8" w:rsidRDefault="000601E8" w:rsidP="00133D2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3E0188" w:rsidP="000C4C61">
      <w:pPr>
        <w:pStyle w:val="StyleBulletedSymbolsymbol"/>
        <w:spacing w:after="0"/>
      </w:pPr>
      <w:r w:rsidRPr="003E0188">
        <w:t xml:space="preserve">The </w:t>
      </w:r>
      <w:r>
        <w:t>Office of Legislative Services (</w:t>
      </w:r>
      <w:r w:rsidRPr="003E0188">
        <w:t>OLS</w:t>
      </w:r>
      <w:r>
        <w:t>)</w:t>
      </w:r>
      <w:r w:rsidRPr="003E0188">
        <w:t xml:space="preserve"> anticipates that this bill will reduce State revenues by an indeterminate amount</w:t>
      </w:r>
      <w:r w:rsidR="00B1595B">
        <w:t xml:space="preserve"> over a multi-year period</w:t>
      </w:r>
      <w:r w:rsidRPr="003E0188">
        <w:t xml:space="preserve">.  The OLS cannot quantify the magnitude of the </w:t>
      </w:r>
      <w:r w:rsidR="00E87DA5">
        <w:t>these reductions</w:t>
      </w:r>
      <w:r w:rsidR="008E1ABD">
        <w:t xml:space="preserve"> or their </w:t>
      </w:r>
      <w:r w:rsidR="008E32C9">
        <w:t xml:space="preserve">exact </w:t>
      </w:r>
      <w:r w:rsidR="008E1ABD">
        <w:t xml:space="preserve">timing </w:t>
      </w:r>
      <w:r w:rsidRPr="003E0188">
        <w:t>because the OLS has no way of knowing the number of taxpayers that will successfully apply for the bill’s tax credits</w:t>
      </w:r>
      <w:r w:rsidR="00742504">
        <w:t xml:space="preserve"> in a given fiscal year or </w:t>
      </w:r>
      <w:r w:rsidRPr="003E0188">
        <w:t>the value of each tax credit that will be approve</w:t>
      </w:r>
      <w:r w:rsidR="00E87DA5">
        <w:t>d</w:t>
      </w:r>
      <w:r w:rsidR="00742504">
        <w:t xml:space="preserve">. </w:t>
      </w:r>
    </w:p>
    <w:p w:rsidR="000C4C61" w:rsidRDefault="000C4C61" w:rsidP="000C4C61">
      <w:pPr>
        <w:pStyle w:val="StyleBulletedSymbolsymbol"/>
        <w:numPr>
          <w:ilvl w:val="0"/>
          <w:numId w:val="0"/>
        </w:numPr>
        <w:spacing w:after="0"/>
        <w:ind w:left="360"/>
      </w:pPr>
    </w:p>
    <w:p w:rsidR="007E5EB3" w:rsidRDefault="003E0188" w:rsidP="000C4C61">
      <w:pPr>
        <w:pStyle w:val="StyleBulletedSymbolsymbol"/>
        <w:spacing w:after="0"/>
      </w:pPr>
      <w:r w:rsidRPr="003E0188">
        <w:t xml:space="preserve">The OLS notes that </w:t>
      </w:r>
      <w:r>
        <w:t xml:space="preserve">the </w:t>
      </w:r>
      <w:r w:rsidRPr="003E0188">
        <w:t>bill does limit the combined value of tax credits that can be approved during a fiscal year to $10 million, and that the tax credit amount allowed is based on taxpayer activity from taxable years and privilege periods ending in 2020, 2021, and 2022.  Each individual tax credit approved is also capped at $500,000.</w:t>
      </w:r>
    </w:p>
    <w:p w:rsidR="00255944" w:rsidRDefault="00255944" w:rsidP="007E5EB3"/>
    <w:p w:rsidR="000C4C61" w:rsidRDefault="000C4C6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23CCB" w:rsidP="002D7863">
      <w:pPr>
        <w:tabs>
          <w:tab w:val="left" w:pos="360"/>
          <w:tab w:val="left" w:pos="720"/>
          <w:tab w:val="left" w:pos="1440"/>
          <w:tab w:val="left" w:pos="2160"/>
          <w:tab w:val="left" w:pos="2880"/>
          <w:tab w:val="left" w:pos="3600"/>
          <w:tab w:val="left" w:pos="4320"/>
          <w:tab w:val="left" w:pos="5040"/>
        </w:tabs>
      </w:pPr>
      <w:r>
        <w:tab/>
      </w:r>
      <w:r w:rsidRPr="00223CCB">
        <w:t xml:space="preserve">This bill provides corporation business tax and gross income tax credits to taxpayers that make investments and create or retain jobs involved in the manufacturing of personal protective equipment in a qualified facility in the State.  Under the bill, personal protective equipment includes coveralls, face shields, gloves, gowns, masks, respirators, and other equipment designed to protect the wearer from the spread of infection or illness. The credits will be allowed for privilege periods ending in 2020, 2021, and 2022 under the corporation business tax and taxable </w:t>
      </w:r>
      <w:r w:rsidRPr="00223CCB">
        <w:lastRenderedPageBreak/>
        <w:t>years 2020, 2021, and 2022 under the gross income tax.</w:t>
      </w:r>
      <w:r>
        <w:t xml:space="preserve">  </w:t>
      </w:r>
      <w:r w:rsidRPr="00223CCB">
        <w:t>The maximum credit for any individual taxpayer is $500,000 and the overall cap on the value of all credits awarded is $10</w:t>
      </w:r>
      <w:r w:rsidR="00B1595B">
        <w:t xml:space="preserve"> million</w:t>
      </w:r>
      <w:r w:rsidRPr="00223CCB">
        <w:t xml:space="preserve"> for each State fiscal year.</w:t>
      </w:r>
      <w:r>
        <w:t xml:space="preserve">  </w:t>
      </w:r>
      <w:r w:rsidRPr="00223CCB">
        <w:t xml:space="preserve">The bill provides that if the amount of the credit exceeds the tax due, the amount in excess is to be treated as an overpayment and be refunded to the taxpayer.  </w:t>
      </w:r>
      <w:r w:rsidR="00547616">
        <w:t>The bill takes effect immediately.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C0907" w:rsidRDefault="00EC090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926E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47616">
        <w:t xml:space="preserve">The OLS </w:t>
      </w:r>
      <w:r w:rsidR="00862C88">
        <w:t>anticipates that</w:t>
      </w:r>
      <w:r w:rsidR="00547616">
        <w:t xml:space="preserve"> th</w:t>
      </w:r>
      <w:r w:rsidR="003E0188">
        <w:t>is</w:t>
      </w:r>
      <w:r w:rsidR="00547616">
        <w:t xml:space="preserve"> bill </w:t>
      </w:r>
      <w:r w:rsidR="00862C88">
        <w:t xml:space="preserve">will </w:t>
      </w:r>
      <w:r w:rsidR="00547616">
        <w:t>reduce State revenues</w:t>
      </w:r>
      <w:r w:rsidR="00862C88">
        <w:t xml:space="preserve"> by an indeterminate amount</w:t>
      </w:r>
      <w:r w:rsidR="00E87DA5">
        <w:t xml:space="preserve"> over a multi-year period</w:t>
      </w:r>
      <w:r w:rsidR="00862C88">
        <w:t xml:space="preserve">.  The OLS cannot </w:t>
      </w:r>
      <w:r w:rsidR="008E1ABD" w:rsidRPr="003E0188">
        <w:t xml:space="preserve">quantify the magnitude of the </w:t>
      </w:r>
      <w:r w:rsidR="008E1ABD">
        <w:t xml:space="preserve">these reductions or their </w:t>
      </w:r>
      <w:r w:rsidR="008E32C9">
        <w:t xml:space="preserve">exact </w:t>
      </w:r>
      <w:r w:rsidR="008E1ABD">
        <w:t xml:space="preserve">timing </w:t>
      </w:r>
      <w:r w:rsidR="008E1ABD" w:rsidRPr="003E0188">
        <w:t>because the OLS has no way of knowing the number of taxpayers that will successfully apply for the bill’s tax credits</w:t>
      </w:r>
      <w:r w:rsidR="008E1ABD">
        <w:t xml:space="preserve"> in a given fiscal year or </w:t>
      </w:r>
      <w:r w:rsidR="008E1ABD" w:rsidRPr="003E0188">
        <w:t>the value of each tax credit that will be approve</w:t>
      </w:r>
      <w:r w:rsidR="008E1ABD">
        <w:t>d</w:t>
      </w:r>
      <w:r w:rsidR="00862C88">
        <w:t xml:space="preserve">.  The OLS notes that </w:t>
      </w:r>
      <w:r w:rsidR="003E0188">
        <w:t xml:space="preserve">the </w:t>
      </w:r>
      <w:r w:rsidR="00862C88">
        <w:t>bill does limit the combined value of tax credits that can be approved during a fiscal year to $10 million</w:t>
      </w:r>
      <w:r w:rsidR="003E0188">
        <w:t xml:space="preserve">, and that the tax credit amount allowed is based on taxpayer activity from taxable years and privilege periods ending in 2020, 2021, and 2022.  Each individual tax credit approved is also capped at $500,000.  Thus, the fiscal impact </w:t>
      </w:r>
      <w:r w:rsidR="00DC10C2">
        <w:t xml:space="preserve">of the tax credits </w:t>
      </w:r>
      <w:r w:rsidR="003E0188">
        <w:t>on State revenues will be mitigated by temporal factors and monetary caps.  On the other side of the ledger, the bill’s tax credits are refundable, which allows taxpayers to claim a cash refund for the amount of the tax credit award that is in excess of the taxpayer’</w:t>
      </w:r>
      <w:r w:rsidR="00DC10C2">
        <w:t>s tax liability.  Refundability increases tax credit ut</w:t>
      </w:r>
      <w:r w:rsidR="00002A2E">
        <w:t>ilization, which, in turn, will amplify the bill’s negative impact on State revenue collections.</w:t>
      </w:r>
      <w:r w:rsidR="008E1ABD">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926EF"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63301" w:rsidP="00EF17BC">
            <w:pPr>
              <w:pStyle w:val="10pointItalics"/>
            </w:pPr>
            <w:bookmarkStart w:id="2" w:name="UserFullName"/>
            <w:bookmarkEnd w:id="2"/>
            <w:r>
              <w:t xml:space="preserve">Jordan </w:t>
            </w:r>
            <w:r w:rsidR="009926EF">
              <w:t xml:space="preserve">M. </w:t>
            </w:r>
            <w:r>
              <w:t>DiGiovanni</w:t>
            </w:r>
          </w:p>
          <w:p w:rsidR="00EF17BC" w:rsidRDefault="009926EF"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356E7F" w:rsidRDefault="00356E7F" w:rsidP="00356E7F">
            <w:pPr>
              <w:pStyle w:val="10pointItalics"/>
              <w:spacing w:line="276" w:lineRule="auto"/>
              <w:rPr>
                <w:szCs w:val="20"/>
              </w:rPr>
            </w:pPr>
            <w:r>
              <w:t>Thomas Koenig</w:t>
            </w:r>
          </w:p>
          <w:p w:rsidR="00EF17BC" w:rsidRDefault="00356E7F" w:rsidP="00EF17BC">
            <w:pPr>
              <w:pStyle w:val="10pointItalics"/>
              <w:rPr>
                <w:sz w:val="24"/>
              </w:rPr>
            </w:pPr>
            <w:r>
              <w:t>Assistant Legislative Budget and Finance Officer</w:t>
            </w:r>
          </w:p>
        </w:tc>
      </w:tr>
    </w:tbl>
    <w:p w:rsidR="00EF17BC" w:rsidRDefault="00EF17BC" w:rsidP="00EF17BC">
      <w:pPr>
        <w:spacing w:line="287" w:lineRule="atLeast"/>
      </w:pPr>
    </w:p>
    <w:p w:rsidR="00EC0907" w:rsidRDefault="00EC0907" w:rsidP="00EF17BC">
      <w:pPr>
        <w:tabs>
          <w:tab w:val="left" w:pos="360"/>
          <w:tab w:val="left" w:pos="720"/>
          <w:tab w:val="left" w:pos="1440"/>
          <w:tab w:val="left" w:pos="2160"/>
          <w:tab w:val="left" w:pos="2880"/>
          <w:tab w:val="left" w:pos="3600"/>
          <w:tab w:val="left" w:pos="4320"/>
          <w:tab w:val="left" w:pos="5040"/>
        </w:tabs>
      </w:pPr>
    </w:p>
    <w:p w:rsidR="00EF17BC" w:rsidRDefault="00314FE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14F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FEE" w:rsidRDefault="00314FEE">
      <w:r>
        <w:separator/>
      </w:r>
    </w:p>
  </w:endnote>
  <w:endnote w:type="continuationSeparator" w:id="0">
    <w:p w:rsidR="00314FEE" w:rsidRDefault="0031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09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64378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FEE" w:rsidRDefault="00314FEE">
      <w:r>
        <w:separator/>
      </w:r>
    </w:p>
  </w:footnote>
  <w:footnote w:type="continuationSeparator" w:id="0">
    <w:p w:rsidR="00314FEE" w:rsidRDefault="00314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FEE" w:rsidRDefault="00314FEE" w:rsidP="00314FEE">
    <w:pPr>
      <w:pStyle w:val="Header"/>
      <w:jc w:val="center"/>
    </w:pPr>
    <w:r>
      <w:t xml:space="preserve">FE to S3015 </w:t>
    </w:r>
  </w:p>
  <w:p w:rsidR="00314FEE" w:rsidRDefault="00314FEE" w:rsidP="00314FEE">
    <w:pPr>
      <w:pStyle w:val="Header"/>
      <w:jc w:val="center"/>
    </w:pPr>
    <w:r>
      <w:fldChar w:fldCharType="begin"/>
    </w:r>
    <w:r>
      <w:instrText xml:space="preserve"> PAGE  \* MERGEFORMAT </w:instrText>
    </w:r>
    <w:r>
      <w:fldChar w:fldCharType="separate"/>
    </w:r>
    <w:r w:rsidR="00CD0920">
      <w:rPr>
        <w:noProof/>
      </w:rPr>
      <w:t>2</w:t>
    </w:r>
    <w:r>
      <w:fldChar w:fldCharType="end"/>
    </w:r>
  </w:p>
  <w:p w:rsidR="00314FEE" w:rsidRDefault="00314FEE" w:rsidP="00314F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FEE"/>
    <w:rsid w:val="00002A2E"/>
    <w:rsid w:val="00011EDD"/>
    <w:rsid w:val="00013973"/>
    <w:rsid w:val="000333DF"/>
    <w:rsid w:val="00036860"/>
    <w:rsid w:val="00042B0B"/>
    <w:rsid w:val="000601E8"/>
    <w:rsid w:val="000629F9"/>
    <w:rsid w:val="000701B0"/>
    <w:rsid w:val="00070F62"/>
    <w:rsid w:val="000820F8"/>
    <w:rsid w:val="00083179"/>
    <w:rsid w:val="0008691D"/>
    <w:rsid w:val="00095290"/>
    <w:rsid w:val="000A16EC"/>
    <w:rsid w:val="000A78AE"/>
    <w:rsid w:val="000B1CCB"/>
    <w:rsid w:val="000B3C61"/>
    <w:rsid w:val="000C074D"/>
    <w:rsid w:val="000C4C61"/>
    <w:rsid w:val="000C50EA"/>
    <w:rsid w:val="000E08DD"/>
    <w:rsid w:val="000E17DB"/>
    <w:rsid w:val="000F0A12"/>
    <w:rsid w:val="000F231D"/>
    <w:rsid w:val="000F278B"/>
    <w:rsid w:val="000F2B57"/>
    <w:rsid w:val="000F3595"/>
    <w:rsid w:val="001106B5"/>
    <w:rsid w:val="00114591"/>
    <w:rsid w:val="00115411"/>
    <w:rsid w:val="001223E7"/>
    <w:rsid w:val="00125D26"/>
    <w:rsid w:val="001360FB"/>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3CCB"/>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4FEE"/>
    <w:rsid w:val="00326E3B"/>
    <w:rsid w:val="003321A7"/>
    <w:rsid w:val="00335BC0"/>
    <w:rsid w:val="003376CB"/>
    <w:rsid w:val="00353325"/>
    <w:rsid w:val="0035698A"/>
    <w:rsid w:val="00356E7F"/>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188"/>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6B0"/>
    <w:rsid w:val="004F585C"/>
    <w:rsid w:val="004F7F49"/>
    <w:rsid w:val="00510A23"/>
    <w:rsid w:val="0051514A"/>
    <w:rsid w:val="00515AC5"/>
    <w:rsid w:val="00520DC2"/>
    <w:rsid w:val="00536F40"/>
    <w:rsid w:val="005470F3"/>
    <w:rsid w:val="00547616"/>
    <w:rsid w:val="005650B6"/>
    <w:rsid w:val="00570997"/>
    <w:rsid w:val="00577AA8"/>
    <w:rsid w:val="005850CE"/>
    <w:rsid w:val="005A6D23"/>
    <w:rsid w:val="005C1947"/>
    <w:rsid w:val="005C1E9D"/>
    <w:rsid w:val="005D16BB"/>
    <w:rsid w:val="005E03E7"/>
    <w:rsid w:val="005E75AB"/>
    <w:rsid w:val="00601F73"/>
    <w:rsid w:val="00625D15"/>
    <w:rsid w:val="00651611"/>
    <w:rsid w:val="00653AE2"/>
    <w:rsid w:val="006671C7"/>
    <w:rsid w:val="006917CF"/>
    <w:rsid w:val="00692BD4"/>
    <w:rsid w:val="006B22F3"/>
    <w:rsid w:val="006B2FD5"/>
    <w:rsid w:val="006B5C2D"/>
    <w:rsid w:val="006B6C16"/>
    <w:rsid w:val="006B7AFF"/>
    <w:rsid w:val="006D6764"/>
    <w:rsid w:val="006D6F6C"/>
    <w:rsid w:val="006F239A"/>
    <w:rsid w:val="006F505D"/>
    <w:rsid w:val="006F7203"/>
    <w:rsid w:val="007215C8"/>
    <w:rsid w:val="00722AEF"/>
    <w:rsid w:val="00737A6C"/>
    <w:rsid w:val="00742504"/>
    <w:rsid w:val="00743F01"/>
    <w:rsid w:val="00744AE4"/>
    <w:rsid w:val="00752DE1"/>
    <w:rsid w:val="00763D60"/>
    <w:rsid w:val="007833B1"/>
    <w:rsid w:val="007920AC"/>
    <w:rsid w:val="007A0F7E"/>
    <w:rsid w:val="007A42C5"/>
    <w:rsid w:val="007A65A1"/>
    <w:rsid w:val="007B1FCF"/>
    <w:rsid w:val="007C4620"/>
    <w:rsid w:val="007C5D69"/>
    <w:rsid w:val="007C7576"/>
    <w:rsid w:val="007E337B"/>
    <w:rsid w:val="007E5EB3"/>
    <w:rsid w:val="00804E41"/>
    <w:rsid w:val="00811BC0"/>
    <w:rsid w:val="008231E8"/>
    <w:rsid w:val="008266B7"/>
    <w:rsid w:val="00854B89"/>
    <w:rsid w:val="00855555"/>
    <w:rsid w:val="00862C88"/>
    <w:rsid w:val="00881EF3"/>
    <w:rsid w:val="00883E7C"/>
    <w:rsid w:val="00886261"/>
    <w:rsid w:val="00894971"/>
    <w:rsid w:val="008C0341"/>
    <w:rsid w:val="008D5731"/>
    <w:rsid w:val="008E1349"/>
    <w:rsid w:val="008E1ABD"/>
    <w:rsid w:val="008E32C9"/>
    <w:rsid w:val="00937A78"/>
    <w:rsid w:val="00947B1E"/>
    <w:rsid w:val="00953C08"/>
    <w:rsid w:val="00973C29"/>
    <w:rsid w:val="00991521"/>
    <w:rsid w:val="009926EF"/>
    <w:rsid w:val="009A0513"/>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595B"/>
    <w:rsid w:val="00B20216"/>
    <w:rsid w:val="00B4569E"/>
    <w:rsid w:val="00B45879"/>
    <w:rsid w:val="00B52637"/>
    <w:rsid w:val="00B551EB"/>
    <w:rsid w:val="00B55F3D"/>
    <w:rsid w:val="00B57D7E"/>
    <w:rsid w:val="00B7428A"/>
    <w:rsid w:val="00B84AC8"/>
    <w:rsid w:val="00B90F8C"/>
    <w:rsid w:val="00B91C0B"/>
    <w:rsid w:val="00B97E24"/>
    <w:rsid w:val="00BA0BE6"/>
    <w:rsid w:val="00BA2122"/>
    <w:rsid w:val="00BA2F3A"/>
    <w:rsid w:val="00BB27F2"/>
    <w:rsid w:val="00BF47F9"/>
    <w:rsid w:val="00C07688"/>
    <w:rsid w:val="00C260AB"/>
    <w:rsid w:val="00C32933"/>
    <w:rsid w:val="00C3314D"/>
    <w:rsid w:val="00C75246"/>
    <w:rsid w:val="00C80B0B"/>
    <w:rsid w:val="00C91EDF"/>
    <w:rsid w:val="00C97447"/>
    <w:rsid w:val="00CC6622"/>
    <w:rsid w:val="00CD0920"/>
    <w:rsid w:val="00CF563B"/>
    <w:rsid w:val="00D20F5D"/>
    <w:rsid w:val="00D376ED"/>
    <w:rsid w:val="00D40E4F"/>
    <w:rsid w:val="00D638D0"/>
    <w:rsid w:val="00D67A0A"/>
    <w:rsid w:val="00D734B9"/>
    <w:rsid w:val="00D762A6"/>
    <w:rsid w:val="00D762BF"/>
    <w:rsid w:val="00D84564"/>
    <w:rsid w:val="00D958CF"/>
    <w:rsid w:val="00D9613A"/>
    <w:rsid w:val="00D968A7"/>
    <w:rsid w:val="00DC10C2"/>
    <w:rsid w:val="00DC2149"/>
    <w:rsid w:val="00DC789F"/>
    <w:rsid w:val="00DD3C40"/>
    <w:rsid w:val="00DD7275"/>
    <w:rsid w:val="00DE1C6C"/>
    <w:rsid w:val="00DE47C2"/>
    <w:rsid w:val="00DE5037"/>
    <w:rsid w:val="00DF054C"/>
    <w:rsid w:val="00DF1A41"/>
    <w:rsid w:val="00DF65C1"/>
    <w:rsid w:val="00E008A4"/>
    <w:rsid w:val="00E042C5"/>
    <w:rsid w:val="00E06D7C"/>
    <w:rsid w:val="00E21963"/>
    <w:rsid w:val="00E22D9A"/>
    <w:rsid w:val="00E262A3"/>
    <w:rsid w:val="00E32D2F"/>
    <w:rsid w:val="00E51E95"/>
    <w:rsid w:val="00E5461B"/>
    <w:rsid w:val="00E63301"/>
    <w:rsid w:val="00E708C9"/>
    <w:rsid w:val="00E74E35"/>
    <w:rsid w:val="00E75B93"/>
    <w:rsid w:val="00E86D2A"/>
    <w:rsid w:val="00E87DA5"/>
    <w:rsid w:val="00E9123C"/>
    <w:rsid w:val="00E95800"/>
    <w:rsid w:val="00EA2509"/>
    <w:rsid w:val="00EB1C90"/>
    <w:rsid w:val="00EC0907"/>
    <w:rsid w:val="00EC1EF8"/>
    <w:rsid w:val="00EC2547"/>
    <w:rsid w:val="00EC4079"/>
    <w:rsid w:val="00ED307B"/>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13D1"/>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E480067-5AF3-437F-89AC-96788174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56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648</Words>
  <Characters>3339</Characters>
  <Application>Microsoft Office Word</Application>
  <DocSecurity>0</DocSecurity>
  <Lines>95</Lines>
  <Paragraphs>38</Paragraphs>
  <ScaleCrop>false</ScaleCrop>
  <HeadingPairs>
    <vt:vector size="2" baseType="variant">
      <vt:variant>
        <vt:lpstr>Title</vt:lpstr>
      </vt:variant>
      <vt:variant>
        <vt:i4>1</vt:i4>
      </vt:variant>
    </vt:vector>
  </HeadingPairs>
  <TitlesOfParts>
    <vt:vector size="1" baseType="lpstr">
      <vt:lpstr>S3015   FISCAL ESTIMATE</vt:lpstr>
    </vt:vector>
  </TitlesOfParts>
  <Manager>Jordan M. DiGiovanni; R230</Manager>
  <Company>Office of Legislative Services</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S3015   FISCAL ESTIMATE</dc:title>
  <dc:creator>Senator SWEENEY Senator GREENSTEIN</dc:creator>
  <cp:keywords>S3015|2|RF |282|265|265|!||</cp:keywords>
  <dc:description>sent to sponsor 11/4</dc:description>
  <cp:lastModifiedBy>Bektas, Brenda</cp:lastModifiedBy>
  <cp:revision>2</cp:revision>
  <cp:lastPrinted>2020-11-02T21:24:00Z</cp:lastPrinted>
  <dcterms:created xsi:type="dcterms:W3CDTF">2020-11-09T19:38:00Z</dcterms:created>
  <dcterms:modified xsi:type="dcterms:W3CDTF">2020-11-09T19:38:00Z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