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190" w:rsidRDefault="006C4190" w:rsidP="006C4190">
      <w:pPr>
        <w:pStyle w:val="bpuBill"/>
      </w:pPr>
      <w:bookmarkStart w:id="0" w:name="bpuFrontPg"/>
      <w:bookmarkStart w:id="1" w:name="_GoBack"/>
      <w:bookmarkEnd w:id="0"/>
      <w:bookmarkEnd w:id="1"/>
      <w:r>
        <w:t xml:space="preserve">SENATE, No. 3023 </w:t>
      </w:r>
    </w:p>
    <w:p w:rsidR="006C4190" w:rsidRPr="009D38FF" w:rsidRDefault="006C4190" w:rsidP="006C41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0856" r:id="rId7"/>
        </w:object>
      </w:r>
    </w:p>
    <w:p w:rsidR="006C4190" w:rsidRDefault="006C4190" w:rsidP="006C4190">
      <w:pPr>
        <w:pStyle w:val="bpuState"/>
      </w:pPr>
      <w:r>
        <w:t>STATE OF NEW JERSEY</w:t>
      </w:r>
    </w:p>
    <w:p w:rsidR="006C4190" w:rsidRDefault="006C4190" w:rsidP="006C4190">
      <w:pPr>
        <w:pStyle w:val="bpuLegislature"/>
      </w:pPr>
      <w:r>
        <w:t>219th LEGISLATURE</w:t>
      </w:r>
    </w:p>
    <w:p w:rsidR="006C4190" w:rsidRDefault="006C4190" w:rsidP="006C4190">
      <w:pPr>
        <w:pStyle w:val="bpuWpGraphic"/>
      </w:pPr>
      <w:r>
        <w:object w:dxaOrig="8985" w:dyaOrig="255">
          <v:shape id="_x0000_i1026" type="#_x0000_t75" style="width:6in;height:12pt" o:ole="">
            <v:imagedata r:id="rId6" o:title=""/>
          </v:shape>
          <o:OLEObject Type="Embed" ProgID="WPWin6.1" ShapeID="_x0000_i1026" DrawAspect="Content" ObjectID="_1664690857" r:id="rId8"/>
        </w:object>
      </w:r>
      <w:r>
        <w:t xml:space="preserve">  </w:t>
      </w:r>
    </w:p>
    <w:p w:rsidR="006C4190" w:rsidRDefault="006C4190" w:rsidP="006C4190">
      <w:pPr>
        <w:pStyle w:val="bpuIntro"/>
      </w:pPr>
      <w:r>
        <w:t>INTRODUCED OCTOBER 19, 2020</w:t>
      </w:r>
    </w:p>
    <w:p w:rsidR="006C4190" w:rsidRDefault="006C4190" w:rsidP="006C4190">
      <w:pPr>
        <w:pStyle w:val="bpuIntro"/>
      </w:pPr>
    </w:p>
    <w:p w:rsidR="006C4190" w:rsidRDefault="006C4190" w:rsidP="006C4190">
      <w:pPr>
        <w:pStyle w:val="bpuIntro"/>
        <w:sectPr w:rsidR="006C4190" w:rsidSect="006C4190">
          <w:headerReference w:type="even" r:id="rId9"/>
          <w:headerReference w:type="default" r:id="rId10"/>
          <w:pgSz w:w="12240" w:h="20160" w:code="5"/>
          <w:pgMar w:top="2160" w:right="1440" w:bottom="1440" w:left="1440" w:header="72" w:footer="720" w:gutter="0"/>
          <w:pgNumType w:start="1"/>
          <w:cols w:space="720"/>
          <w:docGrid w:linePitch="360"/>
        </w:sectPr>
      </w:pPr>
    </w:p>
    <w:p w:rsidR="006C4190" w:rsidRDefault="006C4190" w:rsidP="006C4190">
      <w:pPr>
        <w:pStyle w:val="bpuIntro"/>
      </w:pPr>
    </w:p>
    <w:p w:rsidR="006C4190" w:rsidRDefault="006C4190" w:rsidP="006C4190">
      <w:pPr>
        <w:pStyle w:val="bpuSponsor"/>
      </w:pPr>
      <w:r>
        <w:t>Sponsored by:</w:t>
      </w:r>
    </w:p>
    <w:p w:rsidR="006C4190" w:rsidRDefault="006C4190" w:rsidP="006C4190">
      <w:pPr>
        <w:pStyle w:val="bpuSponsor"/>
      </w:pPr>
      <w:r>
        <w:t>Senator  VIN GOPAL</w:t>
      </w:r>
    </w:p>
    <w:p w:rsidR="006C4190" w:rsidRDefault="006C4190" w:rsidP="006C4190">
      <w:pPr>
        <w:pStyle w:val="bpuSponsor"/>
      </w:pPr>
      <w:r>
        <w:t>District 11 (Monmouth)</w:t>
      </w:r>
    </w:p>
    <w:p w:rsidR="006C4190" w:rsidRDefault="006C4190" w:rsidP="006C4190">
      <w:pPr>
        <w:pStyle w:val="bpuSponsor"/>
      </w:pPr>
    </w:p>
    <w:p w:rsidR="006C4190" w:rsidRDefault="006C4190" w:rsidP="006C4190">
      <w:pPr>
        <w:pStyle w:val="bpuSponsor"/>
      </w:pPr>
    </w:p>
    <w:p w:rsidR="006C4190" w:rsidRDefault="006C4190" w:rsidP="006C4190">
      <w:pPr>
        <w:pStyle w:val="bpuSponsor"/>
      </w:pPr>
    </w:p>
    <w:p w:rsidR="006C4190" w:rsidRDefault="006C4190" w:rsidP="006C4190">
      <w:pPr>
        <w:pStyle w:val="bpuSponsor"/>
      </w:pPr>
    </w:p>
    <w:p w:rsidR="006C4190" w:rsidRDefault="006C4190" w:rsidP="006C4190">
      <w:pPr>
        <w:pStyle w:val="bpuSponsor"/>
      </w:pPr>
      <w:r>
        <w:t>SYNOPSIS</w:t>
      </w:r>
    </w:p>
    <w:p w:rsidR="006C4190" w:rsidRDefault="006C4190" w:rsidP="006C4190">
      <w:pPr>
        <w:pStyle w:val="bpuNormText"/>
      </w:pPr>
      <w:r>
        <w:tab/>
        <w:t>Requires that interest shall not accrue on unpaid property taxes or other municipal liens unless the total amount of the overdue property taxes or municipal charges is $100 or more.</w:t>
      </w:r>
    </w:p>
    <w:p w:rsidR="006C4190" w:rsidRDefault="006C4190" w:rsidP="006C4190">
      <w:pPr>
        <w:pStyle w:val="bpuNormText"/>
      </w:pPr>
    </w:p>
    <w:p w:rsidR="006C4190" w:rsidRDefault="006C4190" w:rsidP="006C4190">
      <w:pPr>
        <w:pStyle w:val="bpuSponsor"/>
      </w:pPr>
      <w:r>
        <w:t xml:space="preserve">CURRENT VERSION OF TEXT </w:t>
      </w:r>
    </w:p>
    <w:p w:rsidR="006C4190" w:rsidRDefault="006C4190" w:rsidP="006C4190">
      <w:pPr>
        <w:pStyle w:val="bpuNormText"/>
      </w:pPr>
      <w:r>
        <w:tab/>
        <w:t>As introduced.</w:t>
      </w:r>
    </w:p>
    <w:p w:rsidR="006C4190" w:rsidRDefault="006C4190" w:rsidP="006C41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4190" w:rsidRDefault="006C4190" w:rsidP="008916EC">
      <w:pPr>
        <w:pStyle w:val="FronterPage"/>
        <w:tabs>
          <w:tab w:val="clear" w:pos="720"/>
          <w:tab w:val="clear" w:pos="1440"/>
          <w:tab w:val="clear" w:pos="2160"/>
          <w:tab w:val="clear" w:pos="2880"/>
          <w:tab w:val="clear" w:pos="3600"/>
          <w:tab w:val="clear" w:pos="4320"/>
          <w:tab w:val="clear" w:pos="5040"/>
        </w:tabs>
        <w:sectPr w:rsidR="006C4190" w:rsidSect="006C4190">
          <w:type w:val="continuous"/>
          <w:pgSz w:w="12240" w:h="20160" w:code="5"/>
          <w:pgMar w:top="1440" w:right="2275" w:bottom="1440" w:left="2275" w:header="72" w:footer="720" w:gutter="0"/>
          <w:pgNumType w:start="1"/>
          <w:cols w:space="720"/>
          <w:docGrid w:linePitch="360"/>
        </w:sectPr>
      </w:pPr>
    </w:p>
    <w:p w:rsidR="00686AEB" w:rsidRPr="00677316" w:rsidRDefault="00E278F3" w:rsidP="003E47BA">
      <w:pPr>
        <w:pStyle w:val="HangingAnAct"/>
        <w:rPr>
          <w:rStyle w:val="HangingAnActChar"/>
        </w:rPr>
      </w:pPr>
      <w:r>
        <w:rPr>
          <w:rStyle w:val="BillHead"/>
        </w:rPr>
        <w:lastRenderedPageBreak/>
        <w:t>An Act</w:t>
      </w:r>
      <w:r w:rsidR="00686AEB" w:rsidRPr="006B7FA7">
        <w:rPr>
          <w:rStyle w:val="HangingAnActChar"/>
        </w:rPr>
        <w:t xml:space="preserve"> </w:t>
      </w:r>
      <w:r w:rsidR="00BA0EFD">
        <w:t>concerning interest imposed on overdue property taxes or other municipal charges and amending R.S.54:4-67.</w:t>
      </w:r>
    </w:p>
    <w:p w:rsidR="000B1054" w:rsidRPr="00D71D68" w:rsidRDefault="000B1054" w:rsidP="000B1054"/>
    <w:p w:rsidR="00686AEB" w:rsidRPr="00AA7880" w:rsidRDefault="00686AEB" w:rsidP="00686AEB">
      <w:r>
        <w:tab/>
      </w:r>
      <w:r w:rsidR="00E278F3">
        <w:rPr>
          <w:rStyle w:val="BillHeading2"/>
        </w:rPr>
        <w:t>Be It Enacted</w:t>
      </w:r>
      <w:r>
        <w:rPr>
          <w:rStyle w:val="BillHeading2"/>
        </w:rPr>
        <w:t xml:space="preserve"> </w:t>
      </w:r>
      <w:r w:rsidR="00E278F3">
        <w:rPr>
          <w:rStyle w:val="BillLanguage"/>
        </w:rPr>
        <w:t>by the Senate and General Assembly of the State of New Jersey:</w:t>
      </w:r>
    </w:p>
    <w:p w:rsidR="00686AEB" w:rsidRDefault="00686AEB" w:rsidP="00686AEB"/>
    <w:p w:rsidR="00E73A16" w:rsidRDefault="00E73A16" w:rsidP="00686AEB">
      <w:r>
        <w:tab/>
        <w:t>1.  R.S.54:4-67 is amended to read as follows:</w:t>
      </w:r>
    </w:p>
    <w:p w:rsidR="00BA0EFD" w:rsidRDefault="00E73A16" w:rsidP="00BA0EFD">
      <w:r>
        <w:tab/>
        <w:t xml:space="preserve">54:4-67.  </w:t>
      </w:r>
      <w:r w:rsidR="00BA0EFD">
        <w:t xml:space="preserve">a. </w:t>
      </w:r>
      <w:r w:rsidR="00CF176D">
        <w:t xml:space="preserve"> </w:t>
      </w:r>
      <w:r w:rsidR="00BA0EFD">
        <w:t xml:space="preserve">(1) </w:t>
      </w:r>
      <w:r w:rsidR="00CF176D">
        <w:t xml:space="preserve"> </w:t>
      </w:r>
      <w:r w:rsidR="00BA0EFD">
        <w:t>The governing body of each municipality may by resolution fix the rate of discount to be allowed for the payment of taxes or assessments previous to the date on which they would become delinquent.  The rate so fixed shall not exceed 6% per annum, shall be allowed only in case of payment made on or before the thirtieth day previous to the date on which the taxes or assessments would become delinquent, after subtracting the amount of applicable property tax credit as defined in section 1 of P.L.2018,</w:t>
      </w:r>
      <w:r w:rsidR="005E230C">
        <w:t> </w:t>
      </w:r>
      <w:r w:rsidR="00BA0EFD">
        <w:t>c.11 (C.54:4-66.6).  No such discount shall apply to the purchaser of a total property tax levy pursuant to section 16 of P.L.1997, c.99 (C.54:5-113.5).  The governing body may also fix the rate of interest to be charged for the nonpayment of taxes, assessments, or other municipal liens or charges, unless otherwise provided by law, on or before the date when they would become delinquent, and may provide that no interest shall be charged if payment of any installment is made within the tenth calendar day following the date upon which the same became payable.  The rate so fixed shall not exceed 8% per annum on the first $1,500.00 of the delinquency and 18% per annum on any amount in excess of $1,500.00, to be calculated from the date the tax was payable until the date that actual payment to the tax collector is made.</w:t>
      </w:r>
      <w:r w:rsidR="00D45CCB" w:rsidRPr="000135D3">
        <w:t xml:space="preserve">  </w:t>
      </w:r>
      <w:r w:rsidR="00D45CCB" w:rsidRPr="00D45CCB">
        <w:rPr>
          <w:u w:val="single"/>
        </w:rPr>
        <w:t xml:space="preserve">Notwithstanding the provisions </w:t>
      </w:r>
      <w:r w:rsidR="000135D3">
        <w:rPr>
          <w:u w:val="single"/>
        </w:rPr>
        <w:t>of this paragraph, w</w:t>
      </w:r>
      <w:r w:rsidR="000135D3" w:rsidRPr="000135D3">
        <w:rPr>
          <w:u w:val="single"/>
        </w:rPr>
        <w:t xml:space="preserve">hen </w:t>
      </w:r>
      <w:r w:rsidR="000135D3">
        <w:rPr>
          <w:u w:val="single"/>
        </w:rPr>
        <w:t>the total amount of delinquent taxes</w:t>
      </w:r>
      <w:r w:rsidR="000135D3" w:rsidRPr="000135D3">
        <w:rPr>
          <w:u w:val="single"/>
        </w:rPr>
        <w:t>, assessments, or other municipal liens or charges</w:t>
      </w:r>
      <w:r w:rsidR="000135D3">
        <w:rPr>
          <w:u w:val="single"/>
        </w:rPr>
        <w:t xml:space="preserve"> is less than $100</w:t>
      </w:r>
      <w:r w:rsidR="002E33E7">
        <w:rPr>
          <w:u w:val="single"/>
        </w:rPr>
        <w:t>,</w:t>
      </w:r>
      <w:r w:rsidR="000135D3">
        <w:rPr>
          <w:u w:val="single"/>
        </w:rPr>
        <w:t xml:space="preserve"> interest shall not be charged.</w:t>
      </w:r>
    </w:p>
    <w:p w:rsidR="00BA0EFD" w:rsidRDefault="00BA0EFD" w:rsidP="00BA0EFD">
      <w:r>
        <w:tab/>
        <w:t>(2)</w:t>
      </w:r>
      <w:r>
        <w:tab/>
        <w:t xml:space="preserve">Notwithstanding the provisions of paragraph (1) of this subsection regarding delinquent payments, in the case of a municipality that has experienced a flood, hurricane, </w:t>
      </w:r>
      <w:proofErr w:type="spellStart"/>
      <w:r>
        <w:t>superstorm</w:t>
      </w:r>
      <w:proofErr w:type="spellEnd"/>
      <w:r>
        <w:t>, tornado, or other natural disaster, interest shall not be charged by the municipality to a delinquent taxpayer if:</w:t>
      </w:r>
    </w:p>
    <w:p w:rsidR="00BA0EFD" w:rsidRDefault="00BA0EFD" w:rsidP="00BA0EFD">
      <w:r>
        <w:tab/>
        <w:t>(a)</w:t>
      </w:r>
      <w:r>
        <w:tab/>
        <w:t>a state of emergency has been declared as a result thereof by the Governor less than 30 days prior to the date upon which a property tax installment payment is payable pursuant to R.S.54:4-66 or section 2 of P.L.1994, c.72 (C.54:4-66.1), as appropriate, and</w:t>
      </w:r>
    </w:p>
    <w:p w:rsidR="00BA0EFD" w:rsidRDefault="00BA0EFD" w:rsidP="00BA0EFD">
      <w:r>
        <w:tab/>
        <w:t>(b)</w:t>
      </w:r>
      <w:r>
        <w:tab/>
        <w:t>the governing body of the municipality adopts a resolution providing that interest shall not be charged to a delinquent taxpayer if payment of the property tax installment, plus any available property tax credit as defined in section 1 of P.L.2018, c.11 (C.54:4-66.6), is made on or before the first day of the next calendar month from the date upon which it became payable.</w:t>
      </w:r>
    </w:p>
    <w:p w:rsidR="00BA0EFD" w:rsidRDefault="00BA0EFD" w:rsidP="00BA0EFD">
      <w:r>
        <w:lastRenderedPageBreak/>
        <w:tab/>
        <w:t>(3)</w:t>
      </w:r>
      <w:r>
        <w:tab/>
        <w:t>The municipal clerk shall notify the Director of the Division of Local Government Services in the Department of Community Affairs of its adoption of a resolution effectuating the provisions of paragraph (2) of this subsection not later than the third business day next following the municipal governing body's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BA0EFD" w:rsidRDefault="005E230C" w:rsidP="005E230C">
      <w:pPr>
        <w:tabs>
          <w:tab w:val="clear" w:pos="1440"/>
          <w:tab w:val="left" w:pos="1170"/>
        </w:tabs>
      </w:pPr>
      <w:r>
        <w:tab/>
        <w:t>(4)</w:t>
      </w:r>
      <w:r>
        <w:tab/>
        <w:t>(a)</w:t>
      </w:r>
      <w:r>
        <w:tab/>
      </w:r>
      <w:r w:rsidR="00BA0EFD">
        <w:t>As used in this paragraph:</w:t>
      </w:r>
    </w:p>
    <w:p w:rsidR="00BA0EFD" w:rsidRDefault="00BA0EFD" w:rsidP="00BA0EFD">
      <w:r>
        <w:tab/>
        <w:t>"Eligible resident" means either:</w:t>
      </w:r>
    </w:p>
    <w:p w:rsidR="00BA0EFD" w:rsidRDefault="00BA0EFD" w:rsidP="00BA0EFD">
      <w:r>
        <w:tab/>
        <w:t>(</w:t>
      </w:r>
      <w:proofErr w:type="spellStart"/>
      <w:r>
        <w:t>i</w:t>
      </w:r>
      <w:proofErr w:type="spellEnd"/>
      <w:r>
        <w:t>)</w:t>
      </w:r>
      <w:r>
        <w:tab/>
        <w:t>an employee of a federal government agency who is furloughed because of a shutdown and receives unemployment benefits during the shutdown or who works during a shutdown but is not paid because of the shutdown; or</w:t>
      </w:r>
    </w:p>
    <w:p w:rsidR="00BA0EFD" w:rsidRDefault="00BA0EFD" w:rsidP="00BA0EFD">
      <w:r>
        <w:tab/>
        <w:t>(ii)</w:t>
      </w:r>
      <w:r>
        <w:tab/>
        <w:t>a contractor whose pay is received through a contract with a federal government agency but whose payment is delayed or diminished because of a shutdown, provided that the contractor receives unemployment benefits during the shutdown.</w:t>
      </w:r>
    </w:p>
    <w:p w:rsidR="00BA0EFD" w:rsidRDefault="00BA0EFD" w:rsidP="00BA0EFD">
      <w:r>
        <w:tab/>
        <w:t>"Shutdown" means any period in which there is more than a 24-hour lapse in appropriations for any federal government agency as a result of a failure to enact a regular appropriations bill or continuing resolution due to an impasse between the President and the Congress of the United States or between the two Houses of Congress.</w:t>
      </w:r>
    </w:p>
    <w:p w:rsidR="00BA0EFD" w:rsidRDefault="00BA0EFD" w:rsidP="00BA0EFD">
      <w:r>
        <w:tab/>
        <w:t>(b)</w:t>
      </w:r>
      <w:r>
        <w:tab/>
        <w:t>Notwithstanding the provisions of paragraph (1) of this subsection regarding delinquent payments, a municipality shall not charge interest to a delinquent taxpayer who is an eligible resident or who resides with a spouse, partner in a civil union, or domestic partner who is an eligible resident, if:</w:t>
      </w:r>
    </w:p>
    <w:p w:rsidR="00BA0EFD" w:rsidRDefault="00BA0EFD" w:rsidP="00BA0EFD">
      <w:r>
        <w:tab/>
        <w:t>(</w:t>
      </w:r>
      <w:proofErr w:type="spellStart"/>
      <w:r>
        <w:t>i</w:t>
      </w:r>
      <w:proofErr w:type="spellEnd"/>
      <w:r>
        <w:t>)</w:t>
      </w:r>
      <w:r>
        <w:tab/>
        <w:t>a shutdown remains in effect for more than 21 days and either ends less than 14 days prior to the date upon which a property tax installment payment is payable pursuant to R.S.54:4-66 or section 2 of P.L.1994, c.72 (C.54:4-66.1), as appropriate, or remains in effect on the date that the property tax installment payment is due and payable; and</w:t>
      </w:r>
    </w:p>
    <w:p w:rsidR="00BA0EFD" w:rsidRDefault="00BA0EFD" w:rsidP="00BA0EFD">
      <w:r>
        <w:tab/>
        <w:t>(ii)</w:t>
      </w:r>
      <w:r>
        <w:tab/>
        <w:t>the governing body of the municipality in which the delinquent taxpayer resides adopts a resolution providing that interest shall not be charged to such a delinquent taxpayer if payment of the property tax installment, less any available property tax credit as defined in section 1 of P.L.2018, c.11 (C.54:4-66.6), is made on or before the date upon which the next property tax installment payment is payable.</w:t>
      </w:r>
    </w:p>
    <w:p w:rsidR="00BA0EFD" w:rsidRDefault="00BA0EFD" w:rsidP="00BA0EFD">
      <w:r>
        <w:lastRenderedPageBreak/>
        <w:tab/>
        <w:t>(c)</w:t>
      </w:r>
      <w:r>
        <w:tab/>
        <w:t>Interest shall not be charged pursuant to this paragraph only if a delinquent property taxpayer provides to the municipality proof that the delinquent property taxpayer's pay, or the pay of the delinquent property taxpayer's spouse, partner in a civil union, or domestic partner, is derived from a federal government agency that is affected by a shutdown.  In the case of a federal employee, that proof shall be demonstrated by a pay stub showing employment by a federal government agency that is affected by a shutdown.  In the case of a contractor, the resolution adopted by the governing body of the municipality pursuant to subparagraph (b) of this paragraph shall establish the criteria necessary to verify the that the contractor's pay is received through a contract with a federal agency that is affected by a shutdown.</w:t>
      </w:r>
    </w:p>
    <w:p w:rsidR="00BA0EFD" w:rsidRDefault="00BA0EFD" w:rsidP="00BA0EFD">
      <w:r>
        <w:tab/>
        <w:t>(d)</w:t>
      </w:r>
      <w:r>
        <w:tab/>
        <w:t>The municipal clerk shall notify the Director of the Division of Local Government Services in the Department of Community Affairs of the municipality's adoption of a resolution effectuating the provisions of part (ii) of subparagraph (b) of this paragraph not later than the third business day next following the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BA0EFD" w:rsidRDefault="00BA0EFD" w:rsidP="00BA0EFD">
      <w:r>
        <w:tab/>
        <w:t>b.</w:t>
      </w:r>
      <w:r>
        <w:tab/>
        <w:t>At any time when the governing body changes the rate of interest to be charged for delinquent taxes, assessments, or other municipal charges, or to be charged for the end of the year penalty, pursuant to subsection a. of this section, the governing body, after adoption of a resolution changing the rate of interest, shall provide a notice to all taxpayers, prior to the date that taxes are next due or with the tax bill, stating the new rate or rates to be charged, the date that the new rate or rates take effect, and, if the new rate or rates of interest are not to be effective for the remainder of the tax year, the property tax quarter or quarters for which the change in rates shall apply.  The notice may be separate from the tax bill.  A change in the rate of interest or the end of year penalty shall not take effect until the required notice has been provided in accordance with this subsection.  To satisfy the notice requirement in this subsection, the governing body shall post the notice on its municipal bulletin board; post the notice on its municipal Internet webpage; publish the notice in its official newspaper; provide a notice to all taxpayers by either (1) regular mail; or (2) by a telephonic system and issue the notice by one of the following alternatives: electronic mail, text messaging system, or any other digital platform used by the municipality to disseminate information to public residents electronically.</w:t>
      </w:r>
    </w:p>
    <w:p w:rsidR="00BA0EFD" w:rsidRDefault="00BA0EFD" w:rsidP="00BA0EFD">
      <w:r>
        <w:lastRenderedPageBreak/>
        <w:tab/>
        <w:t>c.</w:t>
      </w:r>
      <w:r>
        <w:tab/>
        <w:t>In municipalities that have sold their property tax levy pursuant to section 16 of P.L.1997, c.99 (C.54:5-113.5), the rate of interest to be charged for the nonpayment of taxes, assessments or other municipal liens or charges shall be the same interest or delinquency rate or rates otherwise charged by the municipality, to be calculated from the date the tax was payable until the date of actual payment to the tax collector.  The purchaser of the total property tax levy shall be paid only those amounts attributable to properties included in the total property tax levy purchase and actually collected by the tax collector and which amounts shall not include any delinquent interest collected by the municipal tax collector prior to the time that the total property tax levy purchaser makes the levy payment to the municipality.</w:t>
      </w:r>
    </w:p>
    <w:p w:rsidR="00BA0EFD" w:rsidRDefault="00BA0EFD" w:rsidP="00BA0EFD">
      <w:r>
        <w:tab/>
        <w:t>d.</w:t>
      </w:r>
      <w:r>
        <w:tab/>
        <w:t>Whenever the time period for a property tax installment payment has been extended pursuant to the provisions of subsection a. of this section, the Director of the Division of Local Government Services in the Department of Community Affairs may, by temporary order, extend the dates for payment of taxes by a municipality due to a county pursuant to R.S.54:4-74, any school district pursuant to R.S.54:4-75, and any other taxing district as provided by law.</w:t>
      </w:r>
    </w:p>
    <w:p w:rsidR="00BA0EFD" w:rsidRDefault="00BA0EFD" w:rsidP="00BA0EFD">
      <w:r>
        <w:tab/>
        <w:t>"Delinquency" means the sum of all taxes and municipal charges due on a specific real property, less the amount of applicable property tax credit as defined in section 1 of P.L.2018, c.11 (C.54:4-66.6), covering any number of quarters or years.  The property shall remain delinquent, as defined herein, until such time as all unpaid taxes, including subsequent taxes and liens, together with interest thereon shall have been fully paid and satisfied and all applicable property tax credit, as defined in section 1 of P.L.2018,</w:t>
      </w:r>
      <w:r w:rsidR="005E230C">
        <w:t> </w:t>
      </w:r>
      <w:r>
        <w:t xml:space="preserve">c.11 (C.54:4-66.6), has been credited.  The delinquency shall remain notwithstanding the issuance of a certificate of sale pursuant to R.S.54:5-32 and R.S.54:5-46, the payment of delinquent tax by the purchaser of the total property tax levy pursuant to section 16 of P.L.1997, c.99 (C.54:5-113.5) and for the purposes of satisfying the requirements for filing any tax appeal with the county board of taxation or the State tax court.  The governing body may also fix a penalty to be charged to a taxpayer with a delinquency in excess of $10,000 who fails to pay that delinquency as billed, less the amount of applicable property tax credit as defined in section 1 of P.L.2018, c.11 (C.54:4-66.6), prior to the end of the fiscal year.  If any fiscal year delinquency in excess of $10,000 is paid by the holder of an outstanding tax sale certificate or a total property tax levy purchaser, the holder or purchaser, as appropriate, shall be entitled to receive the amount of the penalty as part of the amount required to redeem such certificate of sale providing the payment is made by the tax lien holder or tax levy purchaser prior to the end of the fiscal year.  If the holder of the outstanding tax sale certificate or the levy to the end of the fiscal year, then the holder or purchaser </w:t>
      </w:r>
      <w:r>
        <w:lastRenderedPageBreak/>
        <w:t>shall be entitled to a pro rata share of the delinquency penalty upon redemption, and the balance of the penalty shall inure to the benefit of the municipality.  The penalty so fixed shall not exceed 6% of the amount of the delinquency with respect to each most recent fiscal year only.</w:t>
      </w:r>
    </w:p>
    <w:p w:rsidR="00BA0EFD" w:rsidRDefault="005E230C" w:rsidP="00BA0EFD">
      <w:r>
        <w:t>(</w:t>
      </w:r>
      <w:proofErr w:type="spellStart"/>
      <w:r>
        <w:t>cf</w:t>
      </w:r>
      <w:proofErr w:type="spellEnd"/>
      <w:r>
        <w:t>:</w:t>
      </w:r>
      <w:r w:rsidR="00BA0EFD">
        <w:t xml:space="preserve"> P.L.2020, c.34, s.10)</w:t>
      </w:r>
    </w:p>
    <w:p w:rsidR="00E73A16" w:rsidRPr="00D71D68" w:rsidRDefault="00E73A16" w:rsidP="00686AEB"/>
    <w:p w:rsidR="00686AEB" w:rsidRDefault="00686AEB" w:rsidP="00686AEB">
      <w:r>
        <w:tab/>
      </w:r>
      <w:r w:rsidR="00BA0EFD">
        <w:t>2</w:t>
      </w:r>
      <w:r w:rsidR="005E230C">
        <w:t>.</w:t>
      </w:r>
      <w:r w:rsidR="005E230C">
        <w:tab/>
      </w:r>
      <w:r w:rsidR="00E278F3">
        <w:t>This act shall take effect</w:t>
      </w:r>
      <w:r w:rsidR="00E73A16">
        <w:t xml:space="preserve"> immediately.</w:t>
      </w:r>
    </w:p>
    <w:p w:rsidR="00E73A16" w:rsidRPr="00AA7880" w:rsidRDefault="00E73A16" w:rsidP="00686AEB"/>
    <w:p w:rsidR="000135D3" w:rsidRDefault="000135D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86AEB" w:rsidRPr="00AA7880" w:rsidRDefault="00686AEB" w:rsidP="00686AEB">
      <w:pPr>
        <w:jc w:val="center"/>
      </w:pPr>
      <w:r w:rsidRPr="00D71D68">
        <w:t>STATEMENT</w:t>
      </w:r>
    </w:p>
    <w:p w:rsidR="00686AEB" w:rsidRDefault="00686AEB" w:rsidP="00686AEB"/>
    <w:p w:rsidR="00E73A16" w:rsidRDefault="000135D3">
      <w:r w:rsidRPr="000135D3">
        <w:tab/>
        <w:t xml:space="preserve">This bill would prohibit a municipality from charging interest on delinquent property taxes, assessments, or other municipal liens and charges when the total amount of the delinquency is less than $100.  </w:t>
      </w:r>
      <w:r>
        <w:t xml:space="preserve">Under current law, any such delinquency will accrue interest until the delinquency is </w:t>
      </w:r>
      <w:r w:rsidR="00296E3C">
        <w:t>satisfied</w:t>
      </w:r>
      <w:r>
        <w:t>.</w:t>
      </w:r>
    </w:p>
    <w:sectPr w:rsidR="00E73A16" w:rsidSect="005E230C">
      <w:headerReference w:type="default" r:id="rId12"/>
      <w:footerReference w:type="default" r:id="rId13"/>
      <w:headerReference w:type="first" r:id="rId14"/>
      <w:footerReference w:type="first" r:id="rId15"/>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D4C" w:rsidRDefault="00BD1D4C">
      <w:r>
        <w:separator/>
      </w:r>
    </w:p>
  </w:endnote>
  <w:endnote w:type="continuationSeparator" w:id="0">
    <w:p w:rsidR="00BD1D4C" w:rsidRDefault="00BD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8F3" w:rsidRPr="00921C91" w:rsidRDefault="00E278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78F3" w:rsidRPr="00921C91" w:rsidRDefault="00E278F3">
    <w:pPr>
      <w:pStyle w:val="Footer"/>
      <w:rPr>
        <w:szCs w:val="18"/>
      </w:rPr>
    </w:pPr>
  </w:p>
  <w:p w:rsidR="00E278F3" w:rsidRPr="00921C91" w:rsidRDefault="00E278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78F3" w:rsidRDefault="00E278F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D4C" w:rsidRDefault="00BD1D4C">
      <w:r>
        <w:separator/>
      </w:r>
    </w:p>
  </w:footnote>
  <w:footnote w:type="continuationSeparator" w:id="0">
    <w:p w:rsidR="00BD1D4C" w:rsidRDefault="00BD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19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4190" w:rsidRDefault="006C4190" w:rsidP="006C4190">
    <w:pPr>
      <w:pStyle w:val="bpuHeadSpon"/>
    </w:pPr>
    <w:r w:rsidRPr="006C4190">
      <w:rPr>
        <w:rStyle w:val="bpuHeadSponChar"/>
      </w:rPr>
      <w:t>S3023</w:t>
    </w:r>
    <w:r>
      <w:t xml:space="preserve"> GOPAL</w:t>
    </w:r>
  </w:p>
  <w:p w:rsidR="006C4190" w:rsidRDefault="006C4190" w:rsidP="006C4190">
    <w:pPr>
      <w:pStyle w:val="bpuHeadSpon"/>
    </w:pPr>
    <w:r>
      <w:fldChar w:fldCharType="begin"/>
    </w:r>
    <w:r>
      <w:instrText xml:space="preserve"> PAGE  \* MERGEFORMAT </w:instrText>
    </w:r>
    <w:r>
      <w:fldChar w:fldCharType="separate"/>
    </w:r>
    <w:r w:rsidR="003055E1">
      <w:rPr>
        <w:noProof/>
      </w:rPr>
      <w:t>6</w:t>
    </w:r>
    <w:r>
      <w:fldChar w:fldCharType="end"/>
    </w:r>
  </w:p>
  <w:p w:rsidR="006C4190" w:rsidRDefault="006C4190" w:rsidP="006C41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4190" w:rsidRDefault="006C4190" w:rsidP="006C4190">
    <w:pPr>
      <w:pStyle w:val="bpuHeadSpon"/>
    </w:pPr>
    <w:r w:rsidRPr="006C4190">
      <w:rPr>
        <w:rStyle w:val="bpuHeadSponChar"/>
      </w:rPr>
      <w:t>S3023</w:t>
    </w:r>
    <w:r>
      <w:t xml:space="preserve"> GOPAL</w:t>
    </w:r>
  </w:p>
  <w:p w:rsidR="006C4190" w:rsidRDefault="006C4190" w:rsidP="006C4190">
    <w:pPr>
      <w:pStyle w:val="bpuHeadSpon"/>
    </w:pPr>
    <w:r>
      <w:fldChar w:fldCharType="begin"/>
    </w:r>
    <w:r>
      <w:instrText xml:space="preserve"> PAGE  \* MERGEFORMAT </w:instrText>
    </w:r>
    <w:r>
      <w:fldChar w:fldCharType="separate"/>
    </w:r>
    <w:r w:rsidR="003055E1">
      <w:rPr>
        <w:noProof/>
      </w:rPr>
      <w:t>2</w:t>
    </w:r>
    <w:r>
      <w:fldChar w:fldCharType="end"/>
    </w:r>
  </w:p>
  <w:p w:rsidR="006C4190" w:rsidRDefault="006C4190" w:rsidP="006C41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D4C"/>
    <w:rsid w:val="000051BD"/>
    <w:rsid w:val="000135D3"/>
    <w:rsid w:val="00013C5A"/>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D9E"/>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E3C"/>
    <w:rsid w:val="002A1029"/>
    <w:rsid w:val="002A3A1A"/>
    <w:rsid w:val="002A4692"/>
    <w:rsid w:val="002A51BA"/>
    <w:rsid w:val="002B2E26"/>
    <w:rsid w:val="002B3FE6"/>
    <w:rsid w:val="002C2D81"/>
    <w:rsid w:val="002C461E"/>
    <w:rsid w:val="002C6CEC"/>
    <w:rsid w:val="002E09CE"/>
    <w:rsid w:val="002E33E7"/>
    <w:rsid w:val="002E69D1"/>
    <w:rsid w:val="002F3BA6"/>
    <w:rsid w:val="003055E1"/>
    <w:rsid w:val="003145E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9EE"/>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30C"/>
    <w:rsid w:val="005E50C6"/>
    <w:rsid w:val="005F0083"/>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B0F"/>
    <w:rsid w:val="00665CBC"/>
    <w:rsid w:val="00667A5C"/>
    <w:rsid w:val="00677316"/>
    <w:rsid w:val="00681151"/>
    <w:rsid w:val="00686AEB"/>
    <w:rsid w:val="006B7897"/>
    <w:rsid w:val="006B7FA7"/>
    <w:rsid w:val="006C086A"/>
    <w:rsid w:val="006C21C1"/>
    <w:rsid w:val="006C4190"/>
    <w:rsid w:val="006C7327"/>
    <w:rsid w:val="006D00E5"/>
    <w:rsid w:val="006D2CF6"/>
    <w:rsid w:val="006D791B"/>
    <w:rsid w:val="006E2895"/>
    <w:rsid w:val="006F180D"/>
    <w:rsid w:val="006F4334"/>
    <w:rsid w:val="006F47AF"/>
    <w:rsid w:val="006F6B8A"/>
    <w:rsid w:val="00707CD3"/>
    <w:rsid w:val="00716BB9"/>
    <w:rsid w:val="00717802"/>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61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EFD"/>
    <w:rsid w:val="00BA2EA5"/>
    <w:rsid w:val="00BA364B"/>
    <w:rsid w:val="00BB1190"/>
    <w:rsid w:val="00BB31D0"/>
    <w:rsid w:val="00BB3A11"/>
    <w:rsid w:val="00BB4DDB"/>
    <w:rsid w:val="00BB5D79"/>
    <w:rsid w:val="00BB5F02"/>
    <w:rsid w:val="00BC7892"/>
    <w:rsid w:val="00BD1D4C"/>
    <w:rsid w:val="00BE24D6"/>
    <w:rsid w:val="00BE7EFA"/>
    <w:rsid w:val="00BF06AD"/>
    <w:rsid w:val="00BF2C67"/>
    <w:rsid w:val="00C04F4D"/>
    <w:rsid w:val="00C12E48"/>
    <w:rsid w:val="00C13D14"/>
    <w:rsid w:val="00C15F53"/>
    <w:rsid w:val="00C23F09"/>
    <w:rsid w:val="00C25356"/>
    <w:rsid w:val="00C328D0"/>
    <w:rsid w:val="00C438F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0BF7"/>
    <w:rsid w:val="00CA2442"/>
    <w:rsid w:val="00CA4725"/>
    <w:rsid w:val="00CB6246"/>
    <w:rsid w:val="00CC0A17"/>
    <w:rsid w:val="00CD0F93"/>
    <w:rsid w:val="00CD1BD1"/>
    <w:rsid w:val="00CD528D"/>
    <w:rsid w:val="00CE78BF"/>
    <w:rsid w:val="00CF176D"/>
    <w:rsid w:val="00CF65EB"/>
    <w:rsid w:val="00CF72AD"/>
    <w:rsid w:val="00D02441"/>
    <w:rsid w:val="00D039F4"/>
    <w:rsid w:val="00D10496"/>
    <w:rsid w:val="00D11173"/>
    <w:rsid w:val="00D1215F"/>
    <w:rsid w:val="00D16561"/>
    <w:rsid w:val="00D17FF8"/>
    <w:rsid w:val="00D268AC"/>
    <w:rsid w:val="00D27FF3"/>
    <w:rsid w:val="00D343D0"/>
    <w:rsid w:val="00D3664D"/>
    <w:rsid w:val="00D45CCB"/>
    <w:rsid w:val="00D500E9"/>
    <w:rsid w:val="00D507BC"/>
    <w:rsid w:val="00D6090A"/>
    <w:rsid w:val="00D62FA3"/>
    <w:rsid w:val="00D63B6F"/>
    <w:rsid w:val="00D64A90"/>
    <w:rsid w:val="00D8365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8F3"/>
    <w:rsid w:val="00E373C7"/>
    <w:rsid w:val="00E4267B"/>
    <w:rsid w:val="00E42F13"/>
    <w:rsid w:val="00E452DF"/>
    <w:rsid w:val="00E543CF"/>
    <w:rsid w:val="00E546FD"/>
    <w:rsid w:val="00E608F1"/>
    <w:rsid w:val="00E611B9"/>
    <w:rsid w:val="00E7144F"/>
    <w:rsid w:val="00E73A16"/>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5A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0DFC7C-65C0-4095-9596-CACE8938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C4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6</Pages>
  <Words>2111</Words>
  <Characters>10683</Characters>
  <Application>Microsoft Office Word</Application>
  <DocSecurity>0</DocSecurity>
  <Lines>232</Lines>
  <Paragraphs>37</Paragraphs>
  <ScaleCrop>false</ScaleCrop>
  <HeadingPairs>
    <vt:vector size="2" baseType="variant">
      <vt:variant>
        <vt:lpstr>Title</vt:lpstr>
      </vt:variant>
      <vt:variant>
        <vt:i4>1</vt:i4>
      </vt:variant>
    </vt:vector>
  </HeadingPairs>
  <TitlesOfParts>
    <vt:vector size="1" baseType="lpstr">
      <vt:lpstr>S3023</vt:lpstr>
    </vt:vector>
  </TitlesOfParts>
  <Manager>R230</Manager>
  <Company>NJ Office of Legislative Services</Company>
  <LinksUpToDate>false</LinksUpToDate>
  <CharactersWithSpaces>12812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S3023</dc:title>
  <dc:subject/>
  <dc:creator>Senator  GOPAL</dc:creator>
  <cp:keywords>S3023|6|LG |115|264|252|F|0|</cp:keywords>
  <dc:description>INTRODUCED OCTOBER 19, 2020</dc:description>
  <cp:lastModifiedBy>Bektas, Brenda</cp:lastModifiedBy>
  <cp:revision>2</cp:revision>
  <cp:lastPrinted>2005-10-12T19:02:00Z</cp:lastPrinted>
  <dcterms:created xsi:type="dcterms:W3CDTF">2020-10-20T13:20:00Z</dcterms:created>
  <dcterms:modified xsi:type="dcterms:W3CDTF">2020-10-20T13:20:00Z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