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AFB" w:rsidRDefault="00D43AFB" w:rsidP="00D43AFB">
      <w:pPr>
        <w:pStyle w:val="bpuBill"/>
      </w:pPr>
      <w:bookmarkStart w:id="0" w:name="bpuFrontPg"/>
      <w:bookmarkStart w:id="1" w:name="_GoBack"/>
      <w:bookmarkEnd w:id="0"/>
      <w:bookmarkEnd w:id="1"/>
      <w:r>
        <w:t xml:space="preserve">SENATE, No. 3046 </w:t>
      </w:r>
    </w:p>
    <w:p w:rsidR="00D43AFB" w:rsidRPr="009D38FF" w:rsidRDefault="00D43AFB" w:rsidP="00D43A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8927" r:id="rId7"/>
        </w:object>
      </w:r>
    </w:p>
    <w:p w:rsidR="00D43AFB" w:rsidRDefault="00D43AFB" w:rsidP="00D43AFB">
      <w:pPr>
        <w:pStyle w:val="bpuState"/>
      </w:pPr>
      <w:r>
        <w:t>STATE OF NEW JERSEY</w:t>
      </w:r>
    </w:p>
    <w:p w:rsidR="00D43AFB" w:rsidRDefault="00D43AFB" w:rsidP="00D43AFB">
      <w:pPr>
        <w:pStyle w:val="bpuLegislature"/>
      </w:pPr>
      <w:r>
        <w:t>219th LEGISLATURE</w:t>
      </w:r>
    </w:p>
    <w:p w:rsidR="00D43AFB" w:rsidRDefault="00D43AFB" w:rsidP="00D43AFB">
      <w:pPr>
        <w:pStyle w:val="bpuWpGraphic"/>
      </w:pPr>
      <w:r>
        <w:object w:dxaOrig="8985" w:dyaOrig="255">
          <v:shape id="_x0000_i1026" type="#_x0000_t75" style="width:6in;height:12pt" o:ole="">
            <v:imagedata r:id="rId6" o:title=""/>
          </v:shape>
          <o:OLEObject Type="Embed" ProgID="WPWin6.1" ShapeID="_x0000_i1026" DrawAspect="Content" ObjectID="_1665568928" r:id="rId8"/>
        </w:object>
      </w:r>
      <w:r>
        <w:t xml:space="preserve">  </w:t>
      </w:r>
    </w:p>
    <w:p w:rsidR="00D43AFB" w:rsidRDefault="00D43AFB" w:rsidP="00D43AFB">
      <w:pPr>
        <w:pStyle w:val="bpuIntro"/>
      </w:pPr>
      <w:r>
        <w:t>INTRODUCED OCTOBER 19, 2020</w:t>
      </w:r>
    </w:p>
    <w:p w:rsidR="00D43AFB" w:rsidRDefault="00D43AFB" w:rsidP="00D43AFB">
      <w:pPr>
        <w:pStyle w:val="bpuIntro"/>
      </w:pPr>
    </w:p>
    <w:p w:rsidR="00D43AFB" w:rsidRDefault="00D43AFB" w:rsidP="00D43AFB">
      <w:pPr>
        <w:pStyle w:val="bpuIntro"/>
        <w:sectPr w:rsidR="00D43AFB" w:rsidSect="00E071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3AFB" w:rsidRDefault="00D43AFB" w:rsidP="00D43AFB">
      <w:pPr>
        <w:pStyle w:val="bpuIntro"/>
      </w:pPr>
    </w:p>
    <w:p w:rsidR="00D43AFB" w:rsidRDefault="00D43AFB" w:rsidP="00D43AFB">
      <w:pPr>
        <w:pStyle w:val="bpuSponsor"/>
      </w:pPr>
      <w:r>
        <w:t>Sponsored by:</w:t>
      </w:r>
    </w:p>
    <w:p w:rsidR="00D43AFB" w:rsidRDefault="00D43AFB" w:rsidP="00D43AFB">
      <w:pPr>
        <w:pStyle w:val="bpuSponsor"/>
      </w:pPr>
      <w:r>
        <w:t>Senator  M. TERESA RUIZ</w:t>
      </w:r>
    </w:p>
    <w:p w:rsidR="00D43AFB" w:rsidRDefault="00D43AFB" w:rsidP="00D43AFB">
      <w:pPr>
        <w:pStyle w:val="bpuSponsor"/>
      </w:pPr>
      <w:r>
        <w:t>District 29 (Essex)</w:t>
      </w:r>
    </w:p>
    <w:p w:rsidR="00D43AFB" w:rsidRDefault="00A71336" w:rsidP="00A71336">
      <w:pPr>
        <w:pStyle w:val="bpuSponsor"/>
      </w:pPr>
      <w:r>
        <w:t>Senator  NELLIE POU</w:t>
      </w:r>
    </w:p>
    <w:p w:rsidR="00A71336" w:rsidRDefault="00A71336" w:rsidP="00A71336">
      <w:pPr>
        <w:pStyle w:val="bpuSponsor"/>
      </w:pPr>
      <w:r>
        <w:t>District 35 (Bergen and Passaic)</w:t>
      </w:r>
    </w:p>
    <w:p w:rsidR="00A71336" w:rsidRDefault="00E0716C" w:rsidP="00E0716C">
      <w:pPr>
        <w:pStyle w:val="bpuSponsor"/>
      </w:pPr>
      <w:r>
        <w:t>Assemblywoman  ELIANA PINTOR MARIN</w:t>
      </w:r>
    </w:p>
    <w:p w:rsidR="00E0716C" w:rsidRDefault="00E0716C" w:rsidP="00E0716C">
      <w:pPr>
        <w:pStyle w:val="bpuSponsor"/>
      </w:pPr>
      <w:r>
        <w:t>District 29 (Essex)</w:t>
      </w:r>
    </w:p>
    <w:p w:rsidR="00E0716C" w:rsidRDefault="00E0716C" w:rsidP="00E0716C">
      <w:pPr>
        <w:pStyle w:val="bpuSponsor"/>
      </w:pPr>
      <w:r>
        <w:t>Assemblyman  BENJIE E. WIMBERLY</w:t>
      </w:r>
    </w:p>
    <w:p w:rsidR="00E0716C" w:rsidRDefault="00E0716C" w:rsidP="00E0716C">
      <w:pPr>
        <w:pStyle w:val="bpuSponsor"/>
      </w:pPr>
      <w:r>
        <w:t>District 35 (Bergen and Passaic)</w:t>
      </w:r>
    </w:p>
    <w:p w:rsidR="00E0716C" w:rsidRDefault="00E0716C" w:rsidP="00E0716C">
      <w:pPr>
        <w:pStyle w:val="bpuSponsor"/>
      </w:pPr>
      <w:r>
        <w:t>Assemblywoman  SHAVONDA E. SUMTER</w:t>
      </w:r>
    </w:p>
    <w:p w:rsidR="00E0716C" w:rsidRDefault="00E0716C" w:rsidP="00E0716C">
      <w:pPr>
        <w:pStyle w:val="bpuSponsor"/>
      </w:pPr>
      <w:r>
        <w:t>District 35 (Bergen and Passaic)</w:t>
      </w:r>
    </w:p>
    <w:p w:rsidR="00E0716C" w:rsidRPr="00E0716C" w:rsidRDefault="00E0716C" w:rsidP="00E0716C"/>
    <w:p w:rsidR="00D43AFB" w:rsidRDefault="00D43AFB" w:rsidP="00D43AFB">
      <w:pPr>
        <w:pStyle w:val="bpuSponsor"/>
      </w:pPr>
    </w:p>
    <w:p w:rsidR="00D43AFB" w:rsidRDefault="00D43AFB" w:rsidP="00D43AFB">
      <w:pPr>
        <w:pStyle w:val="bpuSponsor"/>
      </w:pPr>
    </w:p>
    <w:p w:rsidR="00D43AFB" w:rsidRDefault="00D43AFB" w:rsidP="00D43AFB">
      <w:pPr>
        <w:pStyle w:val="bpuSponsor"/>
      </w:pPr>
    </w:p>
    <w:p w:rsidR="00D43AFB" w:rsidRDefault="00D43AFB" w:rsidP="00D43AFB">
      <w:pPr>
        <w:pStyle w:val="bpuSponsor"/>
      </w:pPr>
      <w:r>
        <w:t>SYNOPSIS</w:t>
      </w:r>
    </w:p>
    <w:p w:rsidR="00D43AFB" w:rsidRDefault="00D43AFB" w:rsidP="00D43AFB">
      <w:pPr>
        <w:pStyle w:val="bpuNormText"/>
      </w:pPr>
      <w:r>
        <w:tab/>
        <w:t xml:space="preserve">Extends certain document submission deadlines for Urban Transit Hub Tax Credit program and Economic Redevelopment and Growth Grant Program. </w:t>
      </w:r>
    </w:p>
    <w:p w:rsidR="00D43AFB" w:rsidRDefault="00D43AFB" w:rsidP="00D43AFB">
      <w:pPr>
        <w:pStyle w:val="bpuNormText"/>
      </w:pPr>
    </w:p>
    <w:p w:rsidR="00D43AFB" w:rsidRDefault="00D43AFB" w:rsidP="00D43AFB">
      <w:pPr>
        <w:pStyle w:val="bpuSponsor"/>
      </w:pPr>
      <w:r>
        <w:t xml:space="preserve">CURRENT VERSION OF TEXT </w:t>
      </w:r>
    </w:p>
    <w:p w:rsidR="00D43AFB" w:rsidRDefault="00D43AFB" w:rsidP="00D43AFB">
      <w:pPr>
        <w:pStyle w:val="bpuNormText"/>
      </w:pPr>
      <w:r>
        <w:tab/>
        <w:t>As introduced.</w:t>
      </w:r>
    </w:p>
    <w:p w:rsidR="00D43AFB" w:rsidRDefault="00D43AFB" w:rsidP="00D43A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3AFB" w:rsidRDefault="00D43AFB" w:rsidP="008916EC">
      <w:pPr>
        <w:pStyle w:val="FronterPage"/>
        <w:tabs>
          <w:tab w:val="clear" w:pos="720"/>
          <w:tab w:val="clear" w:pos="1440"/>
          <w:tab w:val="clear" w:pos="2160"/>
          <w:tab w:val="clear" w:pos="2880"/>
          <w:tab w:val="clear" w:pos="3600"/>
          <w:tab w:val="clear" w:pos="4320"/>
          <w:tab w:val="clear" w:pos="5040"/>
        </w:tabs>
        <w:sectPr w:rsidR="00D43AFB" w:rsidSect="00D43AFB">
          <w:type w:val="continuous"/>
          <w:pgSz w:w="12240" w:h="20160" w:code="5"/>
          <w:pgMar w:top="1440" w:right="2275" w:bottom="1440" w:left="2275" w:header="72" w:footer="720" w:gutter="0"/>
          <w:pgNumType w:start="1"/>
          <w:cols w:space="720"/>
          <w:docGrid w:linePitch="360"/>
        </w:sectPr>
      </w:pPr>
    </w:p>
    <w:p w:rsidR="00686AEB" w:rsidRPr="00677316" w:rsidRDefault="00662408" w:rsidP="003E47BA">
      <w:pPr>
        <w:pStyle w:val="HangingAnAct"/>
        <w:rPr>
          <w:rStyle w:val="HangingAnActChar"/>
        </w:rPr>
      </w:pPr>
      <w:r>
        <w:rPr>
          <w:rStyle w:val="BillHead"/>
        </w:rPr>
        <w:lastRenderedPageBreak/>
        <w:t>An Act</w:t>
      </w:r>
      <w:r w:rsidR="00686AEB" w:rsidRPr="006B7FA7">
        <w:rPr>
          <w:rStyle w:val="HangingAnActChar"/>
        </w:rPr>
        <w:t xml:space="preserve"> </w:t>
      </w:r>
      <w:r w:rsidR="00FF1FDA" w:rsidRPr="00FF1FDA">
        <w:t>extending certain document submission deadlines for business tax credit programs, and amending P.L.2007, c.346 and P.L.2009, c.90.</w:t>
      </w:r>
    </w:p>
    <w:p w:rsidR="000B1054" w:rsidRPr="00D71D68" w:rsidRDefault="000B1054" w:rsidP="000B1054"/>
    <w:p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rsidR="00686AEB" w:rsidRPr="00D71D68" w:rsidRDefault="00686AEB" w:rsidP="00686AEB"/>
    <w:p w:rsidR="009E7F4C" w:rsidRDefault="009E7F4C" w:rsidP="009E7F4C">
      <w:r>
        <w:tab/>
        <w:t>1.</w:t>
      </w:r>
      <w:r>
        <w:tab/>
        <w:t>Section 3 of P.L.2007, c.346 (C.34:1B-209) is amended to read as follows:</w:t>
      </w:r>
    </w:p>
    <w:p w:rsidR="009E7F4C" w:rsidRDefault="009E7F4C" w:rsidP="009E7F4C">
      <w:r>
        <w:tab/>
        <w:t>3.</w:t>
      </w:r>
      <w:r>
        <w:tab/>
        <w:t xml:space="preserve">a.  (1)  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w:t>
      </w:r>
      <w:r w:rsidRPr="00CF73D1">
        <w:rPr>
          <w:u w:val="single"/>
        </w:rPr>
        <w:t>section 35 of</w:t>
      </w:r>
      <w:r>
        <w:t xml:space="preserve"> P.L.2009, c.90 (C.34:1B-209.3) and section 6 of P.L.2010, c.57 (C.34:1B-209.4).</w:t>
      </w:r>
    </w:p>
    <w:p w:rsidR="009E7F4C" w:rsidRDefault="009E7F4C" w:rsidP="009E7F4C">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9E7F4C" w:rsidRDefault="009E7F4C" w:rsidP="009E7F4C">
      <w:r>
        <w:tab/>
        <w:t>(3)</w:t>
      </w:r>
      <w:r>
        <w:tab/>
        <w:t xml:space="preserve">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w:t>
      </w:r>
      <w:r>
        <w:lastRenderedPageBreak/>
        <w:t>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9E7F4C" w:rsidRDefault="009E7F4C" w:rsidP="009E7F4C">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w:t>
      </w:r>
      <w:proofErr w:type="spellStart"/>
      <w:r>
        <w:t>InvestNJ</w:t>
      </w:r>
      <w:proofErr w:type="spellEnd"/>
      <w:r>
        <w:t xml:space="preserve"> Business Grant Program Act," P.L.2008, c.112 (C.34:1B-237 et seq.).</w:t>
      </w:r>
    </w:p>
    <w:p w:rsidR="009E7F4C" w:rsidRDefault="009E7F4C" w:rsidP="009E7F4C">
      <w:r>
        <w:tab/>
        <w:t>(5)</w:t>
      </w:r>
      <w:r>
        <w:tab/>
        <w:t>Full-time employment for an accounting or a privilege period shall be determined as the average of the monthly full-time employment for the period.</w:t>
      </w:r>
    </w:p>
    <w:p w:rsidR="009E7F4C" w:rsidRDefault="009E7F4C" w:rsidP="009E7F4C">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9E7F4C" w:rsidRDefault="009E7F4C" w:rsidP="009E7F4C">
      <w:r>
        <w:tab/>
        <w:t>(7)</w:t>
      </w:r>
      <w:r>
        <w:tab/>
        <w:t>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support of the proposed capital investment in a qualified business facility will yield a net positive benefit to both the State and the eligible municipality.</w:t>
      </w:r>
    </w:p>
    <w:p w:rsidR="009E7F4C" w:rsidRDefault="009E7F4C" w:rsidP="009E7F4C">
      <w:r>
        <w:tab/>
        <w:t>(8)</w:t>
      </w:r>
      <w:r>
        <w:tab/>
        <w:t xml:space="preserve">In determining whether a proposed capital investment will yield a net positive benefit, the authority shall not consider the </w:t>
      </w:r>
      <w:r>
        <w:lastRenderedPageBreak/>
        <w:t>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9E7F4C" w:rsidRDefault="009E7F4C" w:rsidP="009E7F4C">
      <w:r>
        <w:tab/>
        <w:t>b.</w:t>
      </w:r>
      <w:r>
        <w:tab/>
        <w:t>(1)</w:t>
      </w:r>
      <w:r w:rsidR="00BF1813">
        <w:t xml:space="preserve"> </w:t>
      </w:r>
      <w:r>
        <w:t xml:space="preserve"> 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9E7F4C" w:rsidRDefault="009E7F4C" w:rsidP="009E7F4C">
      <w:r>
        <w:tab/>
        <w:t>(2)</w:t>
      </w:r>
      <w:r>
        <w:tab/>
        <w:t xml:space="preserve">A business shall apply for the credit under this section prior to the effective date of the "New Jersey Economic Opportunity Act of 2013," P.L.2013, c.161 (C.52:27D-489p et al.), and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(3)</w:t>
      </w:r>
      <w:r>
        <w:tab/>
        <w:t xml:space="preserve">If a business has submitted an application under this section and that application has not been approved for any reason, the lack of approval shall not serve to prejudice in any way the consideration of a new application as may be submitted for the qualified business </w:t>
      </w:r>
      <w:r>
        <w:lastRenderedPageBreak/>
        <w:t>facility for the provision of incentives offered pursuant to the "New Jersey Economic Opportunity Act of 2013," P.L.2013, c.161 (C.52:27D-489p et al.).</w:t>
      </w:r>
    </w:p>
    <w:p w:rsidR="009E7F4C" w:rsidRDefault="009E7F4C" w:rsidP="009E7F4C">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9E7F4C" w:rsidRDefault="009E7F4C" w:rsidP="009E7F4C">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9E7F4C" w:rsidRDefault="009E7F4C" w:rsidP="009E7F4C">
      <w:r>
        <w:tab/>
        <w:t>c.</w:t>
      </w:r>
      <w:r>
        <w:tab/>
        <w:t xml:space="preserve">(1) </w:t>
      </w:r>
      <w:r w:rsidR="00BF1813">
        <w:t xml:space="preserve"> </w:t>
      </w:r>
      <w:r>
        <w:t>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9E7F4C" w:rsidRDefault="009E7F4C" w:rsidP="009E7F4C">
      <w:r>
        <w:tab/>
        <w:t xml:space="preserve">The credit amount for any tax period ending after </w:t>
      </w:r>
      <w:r w:rsidR="00FF1FDA" w:rsidRPr="00FF1FDA">
        <w:rPr>
          <w:rFonts w:ascii="Albertus Extra Bold" w:hAnsi="Albertus Extra Bold"/>
          <w:b/>
        </w:rPr>
        <w:t>[</w:t>
      </w:r>
      <w:r>
        <w:t>July 28, 2021</w:t>
      </w:r>
      <w:r w:rsidRPr="009176B6">
        <w:rPr>
          <w:rFonts w:ascii="Albertus Extra Bold" w:hAnsi="Albertus Extra Bold"/>
          <w:b/>
        </w:rPr>
        <w:t>]</w:t>
      </w:r>
      <w:r>
        <w:t xml:space="preserve"> </w:t>
      </w:r>
      <w:r w:rsidR="00FF1FDA">
        <w:rPr>
          <w:u w:val="single"/>
        </w:rPr>
        <w:t>December 31, 2</w:t>
      </w:r>
      <w:r w:rsidRPr="009176B6">
        <w:rPr>
          <w:u w:val="single"/>
        </w:rPr>
        <w:t>023</w:t>
      </w:r>
      <w:r>
        <w:t xml:space="preserve"> during which the documentation of a business's credit amount remains uncertified shall be forfeited, although credit amounts for the remainder of the years of the 10-year credit period shall remain available to it.</w:t>
      </w:r>
    </w:p>
    <w:p w:rsidR="009E7F4C" w:rsidRDefault="009E7F4C" w:rsidP="009E7F4C">
      <w:r>
        <w:tab/>
        <w:t xml:space="preserve">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w:t>
      </w:r>
      <w:r>
        <w:lastRenderedPageBreak/>
        <w:t>pursuant to P.L.2007, c.346 (C.34:1B-207 et seq.) in any fiscal year shall not exceed $260,000,000.</w:t>
      </w:r>
    </w:p>
    <w:p w:rsidR="009E7F4C" w:rsidRDefault="009E7F4C" w:rsidP="009E7F4C">
      <w:r>
        <w:tab/>
        <w:t>The amount of credit allowed for a tax period to a business that is a tenant in a qualified business facility shall not exceed the business's total lease payments for occupancy of the qualified business facility for the tax period.</w:t>
      </w:r>
    </w:p>
    <w:p w:rsidR="009E7F4C" w:rsidRDefault="009E7F4C" w:rsidP="009E7F4C">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9E7F4C" w:rsidRDefault="009E7F4C" w:rsidP="009E7F4C">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9E7F4C" w:rsidRDefault="009E7F4C" w:rsidP="009E7F4C">
      <w:r>
        <w:tab/>
        <w:t>d.</w:t>
      </w:r>
      <w:r>
        <w:tab/>
        <w:t xml:space="preserve">(1) </w:t>
      </w:r>
      <w:r w:rsidR="00BF1813">
        <w:t xml:space="preserve"> </w:t>
      </w:r>
      <w:r>
        <w:t>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9E7F4C" w:rsidRDefault="009E7F4C" w:rsidP="009E7F4C">
      <w:r>
        <w:tab/>
        <w:t>(2)</w:t>
      </w:r>
      <w:r>
        <w:tab/>
        <w:t xml:space="preserve">If, in any tax period, the business reduces the total number of full-time employees in its Statewide workforce by more than 20 percent from the number of full-time employees in its Statewide 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w:t>
      </w:r>
      <w:r>
        <w:lastRenderedPageBreak/>
        <w:t>Statewide workforce to the threshold levels required by this paragraph has been reviewed and approved by the authority, for which tax period and each subsequent tax period the full amount of the credit shall be allowed.</w:t>
      </w:r>
    </w:p>
    <w:p w:rsidR="009E7F4C" w:rsidRDefault="009E7F4C" w:rsidP="009E7F4C">
      <w:r>
        <w:tab/>
        <w:t>(3)</w:t>
      </w:r>
      <w:r>
        <w:tab/>
        <w:t>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9E7F4C" w:rsidRDefault="009E7F4C" w:rsidP="009E7F4C">
      <w:r>
        <w:tab/>
        <w:t>(4)</w:t>
      </w:r>
      <w:r>
        <w:tab/>
        <w:t>(</w:t>
      </w:r>
      <w:proofErr w:type="spellStart"/>
      <w:r>
        <w:t>i</w:t>
      </w:r>
      <w:proofErr w:type="spellEnd"/>
      <w:r>
        <w:t xml:space="preserve">) </w:t>
      </w:r>
      <w:r w:rsidR="00BF1813">
        <w:t xml:space="preserve"> </w:t>
      </w:r>
      <w:r>
        <w:t>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9E7F4C" w:rsidRDefault="009E7F4C" w:rsidP="009E7F4C">
      <w:r>
        <w:tab/>
        <w:t>(ii)</w:t>
      </w:r>
      <w:r>
        <w:tab/>
        <w:t xml:space="preserve">If a tenant subleases its tenancy in whole or in part during the 10-year eligibility period, the new tenant shall not acquire the credit of the </w:t>
      </w:r>
      <w:proofErr w:type="spellStart"/>
      <w:r>
        <w:t>sublessor</w:t>
      </w:r>
      <w:proofErr w:type="spellEnd"/>
      <w:r>
        <w:t xml:space="preserve">, and the </w:t>
      </w:r>
      <w:proofErr w:type="spellStart"/>
      <w:r>
        <w:t>sublessor</w:t>
      </w:r>
      <w:proofErr w:type="spellEnd"/>
      <w:r>
        <w:t xml:space="preserve"> tenant shall forfeit all credits for the tax period of its sublease and all subsequent tax periods.</w:t>
      </w:r>
    </w:p>
    <w:p w:rsidR="009E7F4C" w:rsidRDefault="009E7F4C" w:rsidP="009E7F4C">
      <w:r>
        <w:tab/>
        <w:t>e.</w:t>
      </w:r>
      <w:r>
        <w:tab/>
        <w:t>(1) 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enumeration of eligible municipalities; specific delineation of urban transit hubs; the determination of the limits, if any, on the expense or type of furnishings that may constitute capital improvements; the 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9E7F4C" w:rsidRDefault="009E7F4C" w:rsidP="009E7F4C">
      <w:r>
        <w:lastRenderedPageBreak/>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9E7F4C" w:rsidRDefault="009E7F4C" w:rsidP="009E7F4C">
      <w:r>
        <w:t>(</w:t>
      </w:r>
      <w:proofErr w:type="spellStart"/>
      <w:r>
        <w:t>cf</w:t>
      </w:r>
      <w:proofErr w:type="spellEnd"/>
      <w:r>
        <w:t>: P.L.2017, c.314, s.1)</w:t>
      </w:r>
    </w:p>
    <w:p w:rsidR="009E7F4C" w:rsidRDefault="009E7F4C" w:rsidP="009E7F4C"/>
    <w:p w:rsidR="009E7F4C" w:rsidRDefault="009E7F4C" w:rsidP="009E7F4C">
      <w:r>
        <w:tab/>
        <w:t>2.</w:t>
      </w:r>
      <w:r>
        <w:tab/>
        <w:t>Section 35 of P.L.2009, c.90 (C.34:1B-209.3) is amended to read as follows:</w:t>
      </w:r>
    </w:p>
    <w:p w:rsidR="009E7F4C" w:rsidRDefault="009E7F4C" w:rsidP="009E7F4C">
      <w:pPr>
        <w:tabs>
          <w:tab w:val="clear" w:pos="720"/>
          <w:tab w:val="left" w:pos="810"/>
        </w:tabs>
      </w:pPr>
      <w:r>
        <w:tab/>
        <w:t>35.</w:t>
      </w:r>
      <w:r>
        <w:tab/>
        <w:t xml:space="preserve">a.  (1)  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w:t>
      </w:r>
      <w:r w:rsidRPr="00BB5DDD">
        <w:rPr>
          <w:rFonts w:ascii="Albertus Extra Bold" w:hAnsi="Albertus Extra Bold"/>
          <w:b/>
        </w:rPr>
        <w:t>[</w:t>
      </w:r>
      <w:r>
        <w:t>(C.34:1B-207)</w:t>
      </w:r>
      <w:r w:rsidRPr="00BB5DDD">
        <w:rPr>
          <w:rFonts w:ascii="Albertus Extra Bold" w:hAnsi="Albertus Extra Bold"/>
          <w:b/>
        </w:rPr>
        <w:t>]</w:t>
      </w:r>
      <w:r>
        <w:t xml:space="preserve"> </w:t>
      </w:r>
      <w:r w:rsidRPr="00BB5DDD">
        <w:rPr>
          <w:u w:val="single"/>
        </w:rPr>
        <w:t>(C.34:1B-209)</w:t>
      </w:r>
      <w:r>
        <w:t xml:space="preserve"> and this section shall not 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projects to be meritorious, the aforementioned $150,000,000 cap may, in the discretion of the executive director, from time to time, be exceeded for allocation to qualified residential projects in 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w:t>
      </w:r>
      <w:r>
        <w:lastRenderedPageBreak/>
        <w:t>both; and whether the project furthers a public purpose, such as catalyzing urban development or maximizing the value of vacant, dilapidated, outmoded, government-owned, or underutilized property, or both.</w:t>
      </w:r>
    </w:p>
    <w:p w:rsidR="009E7F4C" w:rsidRDefault="009E7F4C" w:rsidP="009E7F4C">
      <w:r>
        <w:tab/>
        <w:t>(2)</w:t>
      </w:r>
      <w:r>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9E7F4C" w:rsidRDefault="009E7F4C" w:rsidP="009E7F4C">
      <w:r>
        <w:tab/>
        <w:t>(3)</w:t>
      </w:r>
      <w:r>
        <w:tab/>
        <w:t>The capital investment requirement may be met by the developer or by one or more of its affiliates.</w:t>
      </w:r>
    </w:p>
    <w:p w:rsidR="009E7F4C" w:rsidRDefault="009E7F4C" w:rsidP="009E7F4C">
      <w:r>
        <w:tab/>
        <w:t>(4)</w:t>
      </w:r>
      <w:r>
        <w:tab/>
        <w:t>A developer of a mixed use project shall be allowed a credit pursuant to subparagraph (a) or (b) of this paragraph, but not both.</w:t>
      </w:r>
    </w:p>
    <w:p w:rsidR="009E7F4C" w:rsidRDefault="009E7F4C" w:rsidP="009E7F4C">
      <w:r>
        <w:tab/>
        <w:t>(a)</w:t>
      </w:r>
      <w:r>
        <w:tab/>
        <w:t>A developer shall be allowed a credit in accordance with this section for a qualified residential project that includes a mixed use project.</w:t>
      </w:r>
    </w:p>
    <w:p w:rsidR="009E7F4C" w:rsidRDefault="009E7F4C" w:rsidP="009E7F4C">
      <w:r>
        <w:tab/>
        <w:t>(b)</w:t>
      </w:r>
      <w:r>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9E7F4C" w:rsidRDefault="009E7F4C" w:rsidP="009E7F4C">
      <w:r>
        <w:tab/>
        <w:t>(i)</w:t>
      </w:r>
      <w:r>
        <w:tab/>
        <w:t>the capital investment in the qualified residential project represents at least $17,500,000 of the total capital investment in the mixed use project; and</w:t>
      </w:r>
    </w:p>
    <w:p w:rsidR="009E7F4C" w:rsidRDefault="009E7F4C" w:rsidP="009E7F4C">
      <w:r>
        <w:tab/>
        <w:t>(ii)</w:t>
      </w:r>
      <w:r>
        <w:tab/>
        <w:t>the total capital investment in the mixed use project of which the qualified residential project is a part is not less than $50,000,000.</w:t>
      </w:r>
    </w:p>
    <w:p w:rsidR="009E7F4C" w:rsidRDefault="009E7F4C" w:rsidP="009E7F4C">
      <w:r>
        <w:tab/>
        <w:t>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w:t>
      </w:r>
    </w:p>
    <w:p w:rsidR="009E7F4C" w:rsidRDefault="009E7F4C" w:rsidP="009E7F4C">
      <w:r>
        <w:tab/>
        <w:t>As used in this subparagraph:</w:t>
      </w:r>
    </w:p>
    <w:p w:rsidR="009E7F4C" w:rsidRDefault="009E7F4C" w:rsidP="009E7F4C">
      <w:r>
        <w:tab/>
        <w:t>"Mixed use project" means a project comprising both a qualified residential project and a qualified business facility.</w:t>
      </w:r>
    </w:p>
    <w:p w:rsidR="009E7F4C" w:rsidRDefault="009E7F4C" w:rsidP="009E7F4C">
      <w:r>
        <w:tab/>
        <w:t>(5)</w:t>
      </w:r>
      <w:r>
        <w:tab/>
        <w:t xml:space="preserve">The authority may approve and allocate credits for qualified residential projects in a value sufficient to meet the requirements of all applications that were received by the 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w:t>
      </w:r>
      <w:r>
        <w:lastRenderedPageBreak/>
        <w:t>after the date of enactment of the "New Jersey Economic Opportunity Act of 2013," P.L.2013, c.161 (C.52:27D-489p et al.).</w:t>
      </w:r>
    </w:p>
    <w:p w:rsidR="009E7F4C" w:rsidRDefault="009E7F4C" w:rsidP="009E7F4C">
      <w:r>
        <w:tab/>
        <w:t xml:space="preserve"> b.</w:t>
      </w:r>
      <w:r>
        <w:tab/>
        <w:t xml:space="preserve">(1)  A developer shall apply for the credit under this section on or prior to December 21, 2012 but may thereafter supplement an application as may be requested by the authority.  A developer shall submit its documentation for approval of its credit amount no later than </w:t>
      </w:r>
      <w:r w:rsidR="00FF1FDA" w:rsidRPr="00FF1FDA">
        <w:rPr>
          <w:rFonts w:ascii="Albertus Extra Bold" w:hAnsi="Albertus Extra Bold"/>
          <w:b/>
        </w:rPr>
        <w:t>[</w:t>
      </w:r>
      <w:r>
        <w:t>April 26, 2021</w:t>
      </w:r>
      <w:r w:rsidRPr="009176B6">
        <w:rPr>
          <w:rFonts w:ascii="Albertus Extra Bold" w:hAnsi="Albertus Extra Bold"/>
          <w:b/>
        </w:rPr>
        <w:t>]</w:t>
      </w:r>
      <w:r>
        <w:t xml:space="preserve"> </w:t>
      </w:r>
      <w:r w:rsidR="00FF1FDA">
        <w:rPr>
          <w:u w:val="single"/>
        </w:rPr>
        <w:t xml:space="preserve">December 31, </w:t>
      </w:r>
      <w:r w:rsidRPr="009176B6">
        <w:rPr>
          <w:u w:val="single"/>
        </w:rPr>
        <w:t>2023</w:t>
      </w:r>
      <w:r>
        <w:t>.</w:t>
      </w:r>
    </w:p>
    <w:p w:rsidR="009E7F4C" w:rsidRDefault="009E7F4C" w:rsidP="009E7F4C">
      <w:r>
        <w:tab/>
        <w:t>(2)</w:t>
      </w:r>
      <w:r>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9E7F4C" w:rsidRDefault="009E7F4C" w:rsidP="009E7F4C">
      <w:r>
        <w:tab/>
        <w:t xml:space="preserve"> c.</w:t>
      </w:r>
      <w:r>
        <w:tab/>
        <w:t>The credit shall be administered in accordance with the provisions of subsections c. and e. of section 3 of P.L.2007, c.346 (C.34:1B-209), as amended by section 32 of P.L.2009, c.90, and section 33 of P.L.2009, c.90 (C.34:1B-209.1), except that:</w:t>
      </w:r>
    </w:p>
    <w:p w:rsidR="009E7F4C" w:rsidRDefault="009E7F4C" w:rsidP="009E7F4C">
      <w:r>
        <w:tab/>
        <w:t>(1)</w:t>
      </w:r>
      <w:r>
        <w:tab/>
        <w:t>all references therein to "business" and "qualified business facility" shall be deemed to refer respectively to "developer" and "qualified residential project," as those terms are defined in section 34 of P.L.2009, c.90 (C.34:1B-209.2); and</w:t>
      </w:r>
    </w:p>
    <w:p w:rsidR="009E7F4C" w:rsidRDefault="009E7F4C" w:rsidP="009E7F4C">
      <w:r>
        <w:tab/>
        <w:t>(2)</w:t>
      </w:r>
      <w:r>
        <w:tab/>
        <w:t>all references therein to credits claimed by tenants and to reductions or disqualifications in credits as determined by annual review of the authority shall be disregarded.</w:t>
      </w:r>
    </w:p>
    <w:p w:rsidR="009E7F4C" w:rsidRDefault="009E7F4C" w:rsidP="009E7F4C">
      <w:r>
        <w:tab/>
        <w:t>For purposes of a "mixed use project" as that term is used and defined pursuant to subparagraph (b) of paragraph (4) of subsection a. of this section, "qualified business facility" means that term as defined pursuant to section 2 of P.L.2007, c.346 (C.34:1B-208).</w:t>
      </w:r>
    </w:p>
    <w:p w:rsidR="009E7F4C" w:rsidRDefault="009E7F4C" w:rsidP="009E7F4C">
      <w:r>
        <w:t>(</w:t>
      </w:r>
      <w:proofErr w:type="spellStart"/>
      <w:r>
        <w:t>cf</w:t>
      </w:r>
      <w:proofErr w:type="spellEnd"/>
      <w:r>
        <w:t>: P.L.2017, c.314, s.2)</w:t>
      </w:r>
    </w:p>
    <w:p w:rsidR="009E7F4C" w:rsidRDefault="009E7F4C" w:rsidP="00E636B9"/>
    <w:p w:rsidR="00E636B9" w:rsidRDefault="00E636B9" w:rsidP="00E636B9">
      <w:r>
        <w:tab/>
      </w:r>
      <w:r w:rsidR="009E7F4C">
        <w:t>3</w:t>
      </w:r>
      <w:r>
        <w:t>.</w:t>
      </w:r>
      <w:r>
        <w:tab/>
        <w:t xml:space="preserve">Section </w:t>
      </w:r>
      <w:r w:rsidR="00955A2A">
        <w:t>6</w:t>
      </w:r>
      <w:r>
        <w:t xml:space="preserve"> of P.L.</w:t>
      </w:r>
      <w:r w:rsidR="008A593C">
        <w:t>20</w:t>
      </w:r>
      <w:r w:rsidR="00955A2A">
        <w:t>0</w:t>
      </w:r>
      <w:r w:rsidR="008A593C">
        <w:t>9</w:t>
      </w:r>
      <w:r>
        <w:t>, c.</w:t>
      </w:r>
      <w:r w:rsidR="00955A2A">
        <w:t>90</w:t>
      </w:r>
      <w:r>
        <w:t xml:space="preserve"> (C.</w:t>
      </w:r>
      <w:r w:rsidR="00955A2A" w:rsidRPr="00955A2A">
        <w:t>52:27D-489f</w:t>
      </w:r>
      <w:r>
        <w:t>) is amended to read as follows:</w:t>
      </w:r>
    </w:p>
    <w:p w:rsidR="00955A2A" w:rsidRDefault="00BF1813" w:rsidP="00955A2A">
      <w:r>
        <w:tab/>
        <w:t>6.</w:t>
      </w:r>
      <w:r>
        <w:tab/>
      </w:r>
      <w:r w:rsidR="00955A2A">
        <w:t xml:space="preserve">a. </w:t>
      </w:r>
      <w:r>
        <w:t xml:space="preserve"> </w:t>
      </w:r>
      <w:r w:rsidR="00955A2A">
        <w:t xml:space="preserve">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w:t>
      </w:r>
      <w:r w:rsidR="00955A2A">
        <w:lastRenderedPageBreak/>
        <w:t xml:space="preserve">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955A2A">
        <w:t>Nonlapsing</w:t>
      </w:r>
      <w:proofErr w:type="spellEnd"/>
      <w:r w:rsidR="00955A2A">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955A2A" w:rsidRDefault="00BF1813" w:rsidP="00955A2A">
      <w:r>
        <w:tab/>
        <w:t>b.</w:t>
      </w:r>
      <w:r>
        <w:tab/>
      </w:r>
      <w:r w:rsidR="00955A2A">
        <w:t>(1)</w:t>
      </w:r>
      <w:r>
        <w:t xml:space="preserve"> </w:t>
      </w:r>
      <w:r w:rsidR="00955A2A">
        <w:t xml:space="preserve"> Up to an average of 75 percent of the projected annual incremental revenues or 85 percent of the projected annual incremental revenues in a Garden State Growth Zone may be pledged towards the State portion of an incentive grant. </w:t>
      </w:r>
    </w:p>
    <w:p w:rsidR="00955A2A" w:rsidRDefault="00955A2A" w:rsidP="00955A2A">
      <w:r>
        <w:tab/>
        <w:t>(2)</w:t>
      </w:r>
      <w: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955A2A" w:rsidRDefault="00955A2A" w:rsidP="00955A2A">
      <w:r>
        <w:lastRenderedPageBreak/>
        <w:tab/>
        <w:t>(3)</w:t>
      </w:r>
      <w: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955A2A" w:rsidRDefault="00955A2A" w:rsidP="00955A2A">
      <w:r>
        <w:tab/>
        <w:t>The value of all credits approved by the authority pursuant to paragraphs (2) and (3) of this subsection shall not exceed $823,000,000, of which:</w:t>
      </w:r>
    </w:p>
    <w:p w:rsidR="00955A2A" w:rsidRDefault="00955A2A" w:rsidP="00955A2A">
      <w:r>
        <w:tab/>
        <w:t>(a)</w:t>
      </w:r>
      <w:r>
        <w:tab/>
        <w:t>$250,000,000 shall be restricted to qualified residential projects within Atlantic, Burlington, Camden, Cape May, Cumberland, Gloucester, Ocean, and Salem counties, of which $175,000,000 of the credits shall be restricted to the following categories of projects: (i)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955A2A" w:rsidRDefault="00955A2A" w:rsidP="00955A2A">
      <w:r>
        <w:tab/>
        <w:t>(b)</w:t>
      </w:r>
      <w:r>
        <w:tab/>
        <w:t xml:space="preserve">$395,000,000 shall be restricted to the following categories of projects: (i)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w:t>
      </w:r>
      <w:r>
        <w:lastRenderedPageBreak/>
        <w:t>municipality is located an urban transit hub and a campus of a public research university, as defined in section 1 of P.L.2009, c.308 (C.18A:3B-46); and (viii) $105,000,000 of credits shall be restricted to qualified residential projects and mixed use parking projects in Garden State Growth Zones having a population in excess of 125,000 and do not qualify under subparagraph (a) of this paragraph;</w:t>
      </w:r>
    </w:p>
    <w:p w:rsidR="00955A2A" w:rsidRDefault="00955A2A" w:rsidP="00955A2A">
      <w:r>
        <w:tab/>
        <w:t>(c)</w:t>
      </w:r>
      <w:r>
        <w:tab/>
        <w:t xml:space="preserve">$87,000,000 shall be restricted to the following categories of projects: (i)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955A2A" w:rsidRDefault="00955A2A" w:rsidP="00955A2A">
      <w:r>
        <w:tab/>
        <w:t>(d) (i) $16,000,000 shall be restricted to qualified residential projects that are located within a qualifying economic redevelopment and growth grant incentive area otherwise not qualifying under subparagraph (a), (b), or (c) of this paragraph; and</w:t>
      </w:r>
    </w:p>
    <w:p w:rsidR="00955A2A" w:rsidRDefault="00955A2A" w:rsidP="00955A2A">
      <w:r>
        <w:tab/>
        <w:t>(ii)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955A2A" w:rsidRDefault="00955A2A" w:rsidP="00955A2A">
      <w:r>
        <w:tab/>
        <w:t>(e)</w:t>
      </w:r>
      <w:r>
        <w:tab/>
        <w:t>$25,000,000 shall be restricted to projects involving university infrastructure.</w:t>
      </w:r>
    </w:p>
    <w:p w:rsidR="00955A2A" w:rsidRDefault="00955A2A" w:rsidP="00955A2A">
      <w:r>
        <w:tab/>
        <w:t>(f)</w:t>
      </w:r>
      <w: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F842F4" w:rsidRPr="00F842F4">
        <w:rPr>
          <w:rFonts w:ascii="Albertus Extra Bold" w:hAnsi="Albertus Extra Bold"/>
          <w:b/>
        </w:rPr>
        <w:t>[</w:t>
      </w:r>
      <w:r>
        <w:t>July 28, 2021</w:t>
      </w:r>
      <w:r w:rsidR="009E7F4C" w:rsidRPr="009E7F4C">
        <w:rPr>
          <w:rFonts w:ascii="Albertus Extra Bold" w:hAnsi="Albertus Extra Bold"/>
          <w:b/>
        </w:rPr>
        <w:t>]</w:t>
      </w:r>
      <w:r w:rsidR="009E7F4C">
        <w:t xml:space="preserve"> </w:t>
      </w:r>
      <w:r w:rsidR="00F842F4">
        <w:rPr>
          <w:u w:val="single"/>
        </w:rPr>
        <w:t>December 31, 2</w:t>
      </w:r>
      <w:r w:rsidR="009E7F4C">
        <w:rPr>
          <w:u w:val="single"/>
        </w:rPr>
        <w:t>023</w:t>
      </w:r>
      <w: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F842F4" w:rsidRPr="00F842F4">
        <w:rPr>
          <w:rFonts w:ascii="Albertus Extra Bold" w:hAnsi="Albertus Extra Bold"/>
          <w:b/>
        </w:rPr>
        <w:t>[</w:t>
      </w:r>
      <w:r>
        <w:t>July 28, 2021</w:t>
      </w:r>
      <w:r w:rsidR="009E7F4C" w:rsidRPr="009E7F4C">
        <w:rPr>
          <w:rFonts w:ascii="Albertus Extra Bold" w:hAnsi="Albertus Extra Bold"/>
          <w:b/>
        </w:rPr>
        <w:t>]</w:t>
      </w:r>
      <w:r w:rsidR="009E7F4C">
        <w:t xml:space="preserve"> </w:t>
      </w:r>
      <w:r w:rsidR="00F842F4">
        <w:rPr>
          <w:u w:val="single"/>
        </w:rPr>
        <w:t>December 31, 2</w:t>
      </w:r>
      <w:r w:rsidR="009E7F4C">
        <w:rPr>
          <w:u w:val="single"/>
        </w:rPr>
        <w:t>023</w:t>
      </w:r>
      <w:r>
        <w:t xml:space="preserve">.  The developer of a qualified </w:t>
      </w:r>
      <w:r>
        <w:lastRenderedPageBreak/>
        <w:t xml:space="preserve">residential project or a mixed use parking project seeking an award of credits toward the funding of its incentive grant for a project restricted under categories (vi) and (viii) of subparagraph (b) of this paragraph shall submit an incentive grant application prior to July 1, 2019, and if approved after the effective date of P.L.2017, c.59, shall submit a temporary certificate of occupancy for the project no later than </w:t>
      </w:r>
      <w:r w:rsidR="00F842F4" w:rsidRPr="00F842F4">
        <w:rPr>
          <w:rFonts w:ascii="Albertus Extra Bold" w:hAnsi="Albertus Extra Bold"/>
          <w:b/>
        </w:rPr>
        <w:t>[</w:t>
      </w:r>
      <w:r>
        <w:t>July 28, 2022</w:t>
      </w:r>
      <w:r w:rsidR="009E7F4C" w:rsidRPr="009E7F4C">
        <w:rPr>
          <w:rFonts w:ascii="Albertus Extra Bold" w:hAnsi="Albertus Extra Bold"/>
          <w:b/>
        </w:rPr>
        <w:t>]</w:t>
      </w:r>
      <w:r w:rsidR="00F842F4">
        <w:t xml:space="preserve"> </w:t>
      </w:r>
      <w:r w:rsidR="00F842F4">
        <w:rPr>
          <w:u w:val="single"/>
        </w:rPr>
        <w:t>December 31, 2</w:t>
      </w:r>
      <w:r w:rsidR="009E7F4C">
        <w:rPr>
          <w:u w:val="single"/>
        </w:rPr>
        <w:t>023</w:t>
      </w:r>
      <w: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from time to time until July 1, 2019.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955A2A" w:rsidRDefault="00955A2A" w:rsidP="00955A2A">
      <w:r>
        <w:tab/>
        <w:t>(4)</w:t>
      </w:r>
      <w:r>
        <w:tab/>
        <w:t xml:space="preserve">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w:t>
      </w:r>
      <w:r>
        <w:lastRenderedPageBreak/>
        <w:t>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955A2A" w:rsidRDefault="00955A2A" w:rsidP="00955A2A">
      <w:r>
        <w:tab/>
        <w:t>c.</w:t>
      </w:r>
      <w:r>
        <w:tab/>
        <w:t>All administrative costs associated with the incentive grant shall be assessed to the applicant and be retained by the State Treasurer from the annual incentive grant payments.</w:t>
      </w:r>
    </w:p>
    <w:p w:rsidR="00955A2A" w:rsidRDefault="00955A2A" w:rsidP="00955A2A">
      <w:r>
        <w:tab/>
        <w:t>d.</w:t>
      </w:r>
      <w: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955A2A" w:rsidRDefault="00955A2A" w:rsidP="00955A2A">
      <w:r>
        <w:tab/>
        <w:t>e.</w:t>
      </w:r>
      <w:r>
        <w:tab/>
        <w:t>The municipality is authorized to collect any information necessary to facilitate grants under this program and remit that information in order to assist in the calculation of incremental revenue.</w:t>
      </w:r>
    </w:p>
    <w:p w:rsidR="00E636B9" w:rsidRDefault="00A3233B" w:rsidP="00686AEB">
      <w:r>
        <w:t>(</w:t>
      </w:r>
      <w:proofErr w:type="spellStart"/>
      <w:r>
        <w:t>cf</w:t>
      </w:r>
      <w:proofErr w:type="spellEnd"/>
      <w:r>
        <w:t>: P.L.2018</w:t>
      </w:r>
      <w:r w:rsidRPr="00536508">
        <w:t>, c.</w:t>
      </w:r>
      <w:r>
        <w:t>44</w:t>
      </w:r>
      <w:r w:rsidRPr="00536508">
        <w:t>, s.</w:t>
      </w:r>
      <w:r>
        <w:t>2)</w:t>
      </w:r>
    </w:p>
    <w:p w:rsidR="00536508" w:rsidRDefault="00536508" w:rsidP="00536508"/>
    <w:p w:rsidR="00536508" w:rsidRDefault="007507B3" w:rsidP="00536508">
      <w:r>
        <w:tab/>
      </w:r>
      <w:r w:rsidR="009E7F4C">
        <w:t>4</w:t>
      </w:r>
      <w:r>
        <w:t>.</w:t>
      </w:r>
      <w:r w:rsidRPr="007507B3">
        <w:tab/>
        <w:t>This act shall take effect immediately</w:t>
      </w:r>
      <w:r w:rsidR="00536508">
        <w:t>.</w:t>
      </w:r>
    </w:p>
    <w:p w:rsidR="00536508" w:rsidRDefault="0053650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E7F4C" w:rsidRDefault="009E7F4C" w:rsidP="009E7F4C">
      <w:r>
        <w:tab/>
        <w:t>This bill extends for two years the document submission deadlines applicable to a business or developer that is seeking to receive tax credits under the Economic Redevelopment and Growth Grant Program (ERGG) and the Urban Transit Hub Tax Credit Program (UTHTC).</w:t>
      </w:r>
    </w:p>
    <w:p w:rsidR="009E7F4C" w:rsidRDefault="009E7F4C" w:rsidP="009E7F4C">
      <w:r>
        <w:tab/>
        <w:t xml:space="preserve">The deadline to submit the required documentation for approval of tax documents for certain residential and commercial UTHTC projects is extended from April 26, 2021 to </w:t>
      </w:r>
      <w:r w:rsidR="00FF1FDA">
        <w:t>December 31</w:t>
      </w:r>
      <w:r>
        <w:t xml:space="preserve">, 2023.  The bill also changes from July 28, 2021 to </w:t>
      </w:r>
      <w:r w:rsidR="00FF1FDA">
        <w:t>December 31</w:t>
      </w:r>
      <w:r>
        <w:t>, 2023 the date when approved UTHTC projects will begin forfeiting annual tax credit awards if the project has not been certified as having met its investment capital and employment qualifications.</w:t>
      </w:r>
    </w:p>
    <w:p w:rsidR="0059434A" w:rsidRDefault="009E7F4C" w:rsidP="009E7F4C">
      <w:r>
        <w:tab/>
        <w:t xml:space="preserve">Finally, the bill extends, to </w:t>
      </w:r>
      <w:r w:rsidR="00FF1FDA">
        <w:t>December 31</w:t>
      </w:r>
      <w:r>
        <w:t>, 2023, the deadline by which developers of certain qualified residential and mixed use parking ERGG projects are required to submit temporary certificates of occupancy.</w:t>
      </w:r>
    </w:p>
    <w:sectPr w:rsidR="0059434A" w:rsidSect="00D43A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1E9" w:rsidRDefault="00ED21E9">
      <w:r>
        <w:separator/>
      </w:r>
    </w:p>
  </w:endnote>
  <w:endnote w:type="continuationSeparator" w:id="0">
    <w:p w:rsidR="00ED21E9" w:rsidRDefault="00ED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36" w:rsidRDefault="00E0716C" w:rsidP="00E0716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408" w:rsidRPr="00921C91" w:rsidRDefault="00662408">
    <w:pPr>
      <w:pStyle w:val="Footer"/>
      <w:rPr>
        <w:szCs w:val="18"/>
      </w:rPr>
    </w:pPr>
  </w:p>
  <w:p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2408" w:rsidRDefault="0066240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1E9" w:rsidRDefault="00ED21E9">
      <w:r>
        <w:separator/>
      </w:r>
    </w:p>
  </w:footnote>
  <w:footnote w:type="continuationSeparator" w:id="0">
    <w:p w:rsidR="00ED21E9" w:rsidRDefault="00ED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4B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3AFB" w:rsidRDefault="00D43AFB" w:rsidP="00D43AFB">
    <w:pPr>
      <w:pStyle w:val="bpuHeadSpon"/>
    </w:pPr>
    <w:r w:rsidRPr="00D43AFB">
      <w:rPr>
        <w:rStyle w:val="bpuHeadSponChar"/>
      </w:rPr>
      <w:t>S3046</w:t>
    </w:r>
    <w:r>
      <w:t xml:space="preserve"> RUIZ</w:t>
    </w:r>
    <w:r w:rsidR="00A71336">
      <w:t>, POU</w:t>
    </w:r>
  </w:p>
  <w:p w:rsidR="00D43AFB" w:rsidRDefault="00D43AFB" w:rsidP="00D43AFB">
    <w:pPr>
      <w:pStyle w:val="bpuHeadSpon"/>
    </w:pPr>
    <w:r>
      <w:fldChar w:fldCharType="begin"/>
    </w:r>
    <w:r>
      <w:instrText xml:space="preserve"> PAGE  \* MERGEFORMAT </w:instrText>
    </w:r>
    <w:r>
      <w:fldChar w:fldCharType="separate"/>
    </w:r>
    <w:r w:rsidR="00014B6D">
      <w:rPr>
        <w:noProof/>
      </w:rPr>
      <w:t>15</w:t>
    </w:r>
    <w:r>
      <w:fldChar w:fldCharType="end"/>
    </w:r>
  </w:p>
  <w:p w:rsidR="00D43AFB" w:rsidRDefault="00D43AFB" w:rsidP="00D43A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3AFB" w:rsidRDefault="00D43AFB" w:rsidP="00D43AFB">
    <w:pPr>
      <w:pStyle w:val="bpuHeadSpon"/>
    </w:pPr>
    <w:r w:rsidRPr="00D43AFB">
      <w:rPr>
        <w:rStyle w:val="bpuHeadSponChar"/>
      </w:rPr>
      <w:t>S3046</w:t>
    </w:r>
    <w:r>
      <w:t xml:space="preserve"> RUIZ</w:t>
    </w:r>
    <w:r w:rsidR="00A71336">
      <w:t>, POU</w:t>
    </w:r>
  </w:p>
  <w:p w:rsidR="00D43AFB" w:rsidRDefault="00D43AFB" w:rsidP="00D43AFB">
    <w:pPr>
      <w:pStyle w:val="bpuHeadSpon"/>
    </w:pPr>
    <w:r>
      <w:fldChar w:fldCharType="begin"/>
    </w:r>
    <w:r>
      <w:instrText xml:space="preserve"> PAGE  \* MERGEFORMAT </w:instrText>
    </w:r>
    <w:r>
      <w:fldChar w:fldCharType="separate"/>
    </w:r>
    <w:r w:rsidR="004402EB">
      <w:rPr>
        <w:noProof/>
      </w:rPr>
      <w:t>2</w:t>
    </w:r>
    <w:r>
      <w:fldChar w:fldCharType="end"/>
    </w:r>
  </w:p>
  <w:p w:rsidR="00D43AFB" w:rsidRDefault="00D43AFB" w:rsidP="00D43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4B6D"/>
    <w:rsid w:val="000160A5"/>
    <w:rsid w:val="0002335B"/>
    <w:rsid w:val="0003549A"/>
    <w:rsid w:val="000367AE"/>
    <w:rsid w:val="00036AB5"/>
    <w:rsid w:val="00037427"/>
    <w:rsid w:val="00043B22"/>
    <w:rsid w:val="00054975"/>
    <w:rsid w:val="00055AB2"/>
    <w:rsid w:val="00057D20"/>
    <w:rsid w:val="0006197C"/>
    <w:rsid w:val="0006281F"/>
    <w:rsid w:val="0006610B"/>
    <w:rsid w:val="0008141C"/>
    <w:rsid w:val="00094A55"/>
    <w:rsid w:val="000A44A7"/>
    <w:rsid w:val="000B1054"/>
    <w:rsid w:val="000B3411"/>
    <w:rsid w:val="000C054C"/>
    <w:rsid w:val="000C086A"/>
    <w:rsid w:val="000C12C2"/>
    <w:rsid w:val="000D0CD1"/>
    <w:rsid w:val="000D11AF"/>
    <w:rsid w:val="000D6255"/>
    <w:rsid w:val="000D6262"/>
    <w:rsid w:val="000D7B4A"/>
    <w:rsid w:val="000E12E8"/>
    <w:rsid w:val="000E4006"/>
    <w:rsid w:val="000F3DA2"/>
    <w:rsid w:val="000F5FDE"/>
    <w:rsid w:val="000F7466"/>
    <w:rsid w:val="0013000E"/>
    <w:rsid w:val="00133F81"/>
    <w:rsid w:val="00135943"/>
    <w:rsid w:val="001360C5"/>
    <w:rsid w:val="0014664C"/>
    <w:rsid w:val="001645FB"/>
    <w:rsid w:val="00164914"/>
    <w:rsid w:val="00167F67"/>
    <w:rsid w:val="00173D2B"/>
    <w:rsid w:val="00181676"/>
    <w:rsid w:val="00183603"/>
    <w:rsid w:val="0018410E"/>
    <w:rsid w:val="00194E78"/>
    <w:rsid w:val="0019707B"/>
    <w:rsid w:val="00197E8B"/>
    <w:rsid w:val="00197FA4"/>
    <w:rsid w:val="001A161A"/>
    <w:rsid w:val="001A1A52"/>
    <w:rsid w:val="001A3B79"/>
    <w:rsid w:val="001A66B6"/>
    <w:rsid w:val="001B4716"/>
    <w:rsid w:val="001B4EA4"/>
    <w:rsid w:val="001C7C52"/>
    <w:rsid w:val="001D25F3"/>
    <w:rsid w:val="001D34BA"/>
    <w:rsid w:val="001E014F"/>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574A"/>
    <w:rsid w:val="002660BB"/>
    <w:rsid w:val="002720E8"/>
    <w:rsid w:val="00275293"/>
    <w:rsid w:val="002776B0"/>
    <w:rsid w:val="00286C7E"/>
    <w:rsid w:val="0029737E"/>
    <w:rsid w:val="002A1029"/>
    <w:rsid w:val="002A3A1A"/>
    <w:rsid w:val="002A4692"/>
    <w:rsid w:val="002A51BA"/>
    <w:rsid w:val="002A7767"/>
    <w:rsid w:val="002B1CDD"/>
    <w:rsid w:val="002B2E26"/>
    <w:rsid w:val="002B3FE6"/>
    <w:rsid w:val="002C2D81"/>
    <w:rsid w:val="002C461E"/>
    <w:rsid w:val="002C6CEC"/>
    <w:rsid w:val="002E09CE"/>
    <w:rsid w:val="002E69D1"/>
    <w:rsid w:val="002F0C4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3F6"/>
    <w:rsid w:val="00382F1F"/>
    <w:rsid w:val="003840E5"/>
    <w:rsid w:val="00391DA4"/>
    <w:rsid w:val="003A3C64"/>
    <w:rsid w:val="003A3F83"/>
    <w:rsid w:val="003A63AE"/>
    <w:rsid w:val="003C43EF"/>
    <w:rsid w:val="003C5A6B"/>
    <w:rsid w:val="003C7FB2"/>
    <w:rsid w:val="003D24DE"/>
    <w:rsid w:val="003E26D4"/>
    <w:rsid w:val="003E47BA"/>
    <w:rsid w:val="003F3B37"/>
    <w:rsid w:val="0040195A"/>
    <w:rsid w:val="00402DC0"/>
    <w:rsid w:val="00416C4B"/>
    <w:rsid w:val="004170B3"/>
    <w:rsid w:val="0041751E"/>
    <w:rsid w:val="004211E5"/>
    <w:rsid w:val="00422091"/>
    <w:rsid w:val="0043386C"/>
    <w:rsid w:val="00436F2D"/>
    <w:rsid w:val="00436F5D"/>
    <w:rsid w:val="004402EB"/>
    <w:rsid w:val="00441B42"/>
    <w:rsid w:val="0045118A"/>
    <w:rsid w:val="00455D51"/>
    <w:rsid w:val="00456BF9"/>
    <w:rsid w:val="00461057"/>
    <w:rsid w:val="004704A8"/>
    <w:rsid w:val="00471102"/>
    <w:rsid w:val="00471F18"/>
    <w:rsid w:val="00474B0B"/>
    <w:rsid w:val="00481F06"/>
    <w:rsid w:val="00484144"/>
    <w:rsid w:val="00484C19"/>
    <w:rsid w:val="00485866"/>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36CD"/>
    <w:rsid w:val="00554051"/>
    <w:rsid w:val="00557240"/>
    <w:rsid w:val="005629A4"/>
    <w:rsid w:val="005651F3"/>
    <w:rsid w:val="00572184"/>
    <w:rsid w:val="00577A15"/>
    <w:rsid w:val="00580533"/>
    <w:rsid w:val="00587968"/>
    <w:rsid w:val="0059131D"/>
    <w:rsid w:val="0059398A"/>
    <w:rsid w:val="0059434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A5C"/>
    <w:rsid w:val="00677316"/>
    <w:rsid w:val="00686AEB"/>
    <w:rsid w:val="006B7897"/>
    <w:rsid w:val="006B7FA7"/>
    <w:rsid w:val="006C086A"/>
    <w:rsid w:val="006C21C1"/>
    <w:rsid w:val="006C7327"/>
    <w:rsid w:val="006D00E5"/>
    <w:rsid w:val="006D791B"/>
    <w:rsid w:val="006E2895"/>
    <w:rsid w:val="006E79C1"/>
    <w:rsid w:val="006F180D"/>
    <w:rsid w:val="006F4334"/>
    <w:rsid w:val="006F47AF"/>
    <w:rsid w:val="006F6B8A"/>
    <w:rsid w:val="00707CD3"/>
    <w:rsid w:val="00716BB9"/>
    <w:rsid w:val="007228ED"/>
    <w:rsid w:val="00723D88"/>
    <w:rsid w:val="007256D1"/>
    <w:rsid w:val="007279FD"/>
    <w:rsid w:val="007502CB"/>
    <w:rsid w:val="007507B3"/>
    <w:rsid w:val="007515E1"/>
    <w:rsid w:val="007527E0"/>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3C"/>
    <w:rsid w:val="008B2850"/>
    <w:rsid w:val="008C58EA"/>
    <w:rsid w:val="008C79B3"/>
    <w:rsid w:val="008D77BD"/>
    <w:rsid w:val="008E454C"/>
    <w:rsid w:val="008F1E5A"/>
    <w:rsid w:val="0090175F"/>
    <w:rsid w:val="00901BDA"/>
    <w:rsid w:val="00905EE8"/>
    <w:rsid w:val="009121D8"/>
    <w:rsid w:val="00912338"/>
    <w:rsid w:val="00916F7A"/>
    <w:rsid w:val="00917FE3"/>
    <w:rsid w:val="009318C7"/>
    <w:rsid w:val="00931C09"/>
    <w:rsid w:val="0093369B"/>
    <w:rsid w:val="009348C2"/>
    <w:rsid w:val="009440D0"/>
    <w:rsid w:val="009523A3"/>
    <w:rsid w:val="00955A2A"/>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19"/>
    <w:rsid w:val="009E7F4C"/>
    <w:rsid w:val="009F4FAC"/>
    <w:rsid w:val="00A017C0"/>
    <w:rsid w:val="00A10129"/>
    <w:rsid w:val="00A11228"/>
    <w:rsid w:val="00A222C2"/>
    <w:rsid w:val="00A305D6"/>
    <w:rsid w:val="00A3233B"/>
    <w:rsid w:val="00A342C4"/>
    <w:rsid w:val="00A50F6B"/>
    <w:rsid w:val="00A52237"/>
    <w:rsid w:val="00A551D6"/>
    <w:rsid w:val="00A6251B"/>
    <w:rsid w:val="00A6754E"/>
    <w:rsid w:val="00A70F58"/>
    <w:rsid w:val="00A71336"/>
    <w:rsid w:val="00A72987"/>
    <w:rsid w:val="00A7346B"/>
    <w:rsid w:val="00A772E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54D"/>
    <w:rsid w:val="00B05600"/>
    <w:rsid w:val="00B05A3C"/>
    <w:rsid w:val="00B07100"/>
    <w:rsid w:val="00B1138C"/>
    <w:rsid w:val="00B2574A"/>
    <w:rsid w:val="00B35D8A"/>
    <w:rsid w:val="00B45B34"/>
    <w:rsid w:val="00B57047"/>
    <w:rsid w:val="00B61D86"/>
    <w:rsid w:val="00B6342D"/>
    <w:rsid w:val="00B653B3"/>
    <w:rsid w:val="00B726BD"/>
    <w:rsid w:val="00B732BC"/>
    <w:rsid w:val="00B90E33"/>
    <w:rsid w:val="00B9676B"/>
    <w:rsid w:val="00BA2EA5"/>
    <w:rsid w:val="00BA364B"/>
    <w:rsid w:val="00BB1190"/>
    <w:rsid w:val="00BB31D0"/>
    <w:rsid w:val="00BB3A11"/>
    <w:rsid w:val="00BB4DDB"/>
    <w:rsid w:val="00BB5D79"/>
    <w:rsid w:val="00BB5F02"/>
    <w:rsid w:val="00BC7892"/>
    <w:rsid w:val="00BD6876"/>
    <w:rsid w:val="00BE24D6"/>
    <w:rsid w:val="00BE7EFA"/>
    <w:rsid w:val="00BF06AD"/>
    <w:rsid w:val="00BF1813"/>
    <w:rsid w:val="00BF2C67"/>
    <w:rsid w:val="00BF5B13"/>
    <w:rsid w:val="00BF5E0E"/>
    <w:rsid w:val="00C04F4D"/>
    <w:rsid w:val="00C12E48"/>
    <w:rsid w:val="00C13D14"/>
    <w:rsid w:val="00C15F53"/>
    <w:rsid w:val="00C23F09"/>
    <w:rsid w:val="00C25356"/>
    <w:rsid w:val="00C328D0"/>
    <w:rsid w:val="00C46BC1"/>
    <w:rsid w:val="00C5235F"/>
    <w:rsid w:val="00C54CE2"/>
    <w:rsid w:val="00C66BF3"/>
    <w:rsid w:val="00C70140"/>
    <w:rsid w:val="00C73CA7"/>
    <w:rsid w:val="00C7628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89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FB"/>
    <w:rsid w:val="00D500E9"/>
    <w:rsid w:val="00D507BC"/>
    <w:rsid w:val="00D539B7"/>
    <w:rsid w:val="00D57778"/>
    <w:rsid w:val="00D6090A"/>
    <w:rsid w:val="00D62FA3"/>
    <w:rsid w:val="00D635D5"/>
    <w:rsid w:val="00D63B6F"/>
    <w:rsid w:val="00D64A90"/>
    <w:rsid w:val="00D9410B"/>
    <w:rsid w:val="00D9695B"/>
    <w:rsid w:val="00DA2417"/>
    <w:rsid w:val="00DA5585"/>
    <w:rsid w:val="00DB02AC"/>
    <w:rsid w:val="00DB6AA2"/>
    <w:rsid w:val="00DC0550"/>
    <w:rsid w:val="00DC1B70"/>
    <w:rsid w:val="00DE10D1"/>
    <w:rsid w:val="00DE2514"/>
    <w:rsid w:val="00DE6851"/>
    <w:rsid w:val="00DF03EE"/>
    <w:rsid w:val="00DF7072"/>
    <w:rsid w:val="00E00948"/>
    <w:rsid w:val="00E01B71"/>
    <w:rsid w:val="00E05CC9"/>
    <w:rsid w:val="00E0716C"/>
    <w:rsid w:val="00E15573"/>
    <w:rsid w:val="00E25A5B"/>
    <w:rsid w:val="00E373C7"/>
    <w:rsid w:val="00E4267B"/>
    <w:rsid w:val="00E42F13"/>
    <w:rsid w:val="00E452DF"/>
    <w:rsid w:val="00E543CF"/>
    <w:rsid w:val="00E546FD"/>
    <w:rsid w:val="00E608F1"/>
    <w:rsid w:val="00E611B9"/>
    <w:rsid w:val="00E636B9"/>
    <w:rsid w:val="00E7144F"/>
    <w:rsid w:val="00E73D74"/>
    <w:rsid w:val="00E76A79"/>
    <w:rsid w:val="00E80692"/>
    <w:rsid w:val="00E80C24"/>
    <w:rsid w:val="00E92B74"/>
    <w:rsid w:val="00E93836"/>
    <w:rsid w:val="00EA7C16"/>
    <w:rsid w:val="00EC5281"/>
    <w:rsid w:val="00EC791D"/>
    <w:rsid w:val="00EC7CA6"/>
    <w:rsid w:val="00ED21E9"/>
    <w:rsid w:val="00ED3C5D"/>
    <w:rsid w:val="00ED4553"/>
    <w:rsid w:val="00EF7BA1"/>
    <w:rsid w:val="00F0080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C52"/>
    <w:rsid w:val="00F842F4"/>
    <w:rsid w:val="00FA0AFC"/>
    <w:rsid w:val="00FA1C82"/>
    <w:rsid w:val="00FA2ED1"/>
    <w:rsid w:val="00FA4A52"/>
    <w:rsid w:val="00FB37A7"/>
    <w:rsid w:val="00FB4045"/>
    <w:rsid w:val="00FB4D8E"/>
    <w:rsid w:val="00FB6867"/>
    <w:rsid w:val="00FC0D0A"/>
    <w:rsid w:val="00FC1B0B"/>
    <w:rsid w:val="00FD2F97"/>
    <w:rsid w:val="00FE7957"/>
    <w:rsid w:val="00FF1F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5A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A2A"/>
    <w:rPr>
      <w:rFonts w:ascii="Segoe UI" w:hAnsi="Segoe UI" w:cs="Segoe UI"/>
      <w:spacing w:val="4"/>
      <w:sz w:val="18"/>
      <w:szCs w:val="18"/>
    </w:rPr>
  </w:style>
  <w:style w:type="character" w:styleId="LineNumber">
    <w:name w:val="line number"/>
    <w:basedOn w:val="DefaultParagraphFont"/>
    <w:semiHidden/>
    <w:unhideWhenUsed/>
    <w:rsid w:val="00D4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6654</Words>
  <Characters>35222</Characters>
  <Application>Microsoft Office Word</Application>
  <DocSecurity>0</DocSecurity>
  <Lines>690</Lines>
  <Paragraphs>92</Paragraphs>
  <ScaleCrop>false</ScaleCrop>
  <HeadingPairs>
    <vt:vector size="2" baseType="variant">
      <vt:variant>
        <vt:lpstr>Title</vt:lpstr>
      </vt:variant>
      <vt:variant>
        <vt:i4>1</vt:i4>
      </vt:variant>
    </vt:vector>
  </HeadingPairs>
  <TitlesOfParts>
    <vt:vector size="1" baseType="lpstr">
      <vt:lpstr>S3046</vt:lpstr>
    </vt:vector>
  </TitlesOfParts>
  <Manager>R225</Manager>
  <Company>NJ Office of Legislative Services</Company>
  <LinksUpToDate>false</LinksUpToDate>
  <CharactersWithSpaces>41915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S3046</dc:title>
  <dc:subject/>
  <dc:creator>Senator  RUIZ</dc:creator>
  <cp:keywords>S3046|15|RF |282|313|308|F|0|</cp:keywords>
  <dc:description>INTRODUCED OCTOBER 19, 2020</dc:description>
  <cp:lastModifiedBy>Todaro, Vivian</cp:lastModifiedBy>
  <cp:revision>2</cp:revision>
  <cp:lastPrinted>2020-10-30T17:15:00Z</cp:lastPrinted>
  <dcterms:created xsi:type="dcterms:W3CDTF">2020-10-30T17:15:00Z</dcterms:created>
  <dcterms:modified xsi:type="dcterms:W3CDTF">2020-10-30T17:15:00Z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