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54B" w:rsidRDefault="005F754B" w:rsidP="005F754B">
      <w:pPr>
        <w:pStyle w:val="bpuReprint"/>
      </w:pPr>
      <w:bookmarkStart w:id="0" w:name="bpuFrontPg"/>
      <w:bookmarkStart w:id="1" w:name="_GoBack"/>
      <w:bookmarkEnd w:id="0"/>
      <w:bookmarkEnd w:id="1"/>
      <w:r>
        <w:t>[First Reprint]</w:t>
      </w:r>
    </w:p>
    <w:p w:rsidR="00075441" w:rsidRDefault="00075441" w:rsidP="00075441">
      <w:pPr>
        <w:pStyle w:val="bpuBill"/>
      </w:pPr>
      <w:r>
        <w:t xml:space="preserve">SENATE, No. 3076 </w:t>
      </w:r>
    </w:p>
    <w:p w:rsidR="00075441" w:rsidRPr="009D38FF" w:rsidRDefault="00075441" w:rsidP="000754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0125" r:id="rId7"/>
        </w:object>
      </w:r>
    </w:p>
    <w:p w:rsidR="00075441" w:rsidRDefault="00075441" w:rsidP="00075441">
      <w:pPr>
        <w:pStyle w:val="bpuState"/>
      </w:pPr>
      <w:r>
        <w:t>STATE OF NEW JERSEY</w:t>
      </w:r>
    </w:p>
    <w:p w:rsidR="00075441" w:rsidRDefault="00075441" w:rsidP="00075441">
      <w:pPr>
        <w:pStyle w:val="bpuLegislature"/>
      </w:pPr>
      <w:r>
        <w:t>219th LEGISLATURE</w:t>
      </w:r>
    </w:p>
    <w:p w:rsidR="00075441" w:rsidRDefault="00075441" w:rsidP="00075441">
      <w:pPr>
        <w:pStyle w:val="bpuWpGraphic"/>
      </w:pPr>
      <w:r>
        <w:object w:dxaOrig="8985" w:dyaOrig="255">
          <v:shape id="_x0000_i1026" type="#_x0000_t75" style="width:6in;height:12pt" o:ole="">
            <v:imagedata r:id="rId6" o:title=""/>
          </v:shape>
          <o:OLEObject Type="Embed" ProgID="WPWin6.1" ShapeID="_x0000_i1026" DrawAspect="Content" ObjectID="_1676200126" r:id="rId8"/>
        </w:object>
      </w:r>
      <w:r>
        <w:t xml:space="preserve">  </w:t>
      </w:r>
    </w:p>
    <w:p w:rsidR="00075441" w:rsidRDefault="00075441" w:rsidP="00075441">
      <w:pPr>
        <w:pStyle w:val="bpuIntro"/>
      </w:pPr>
      <w:r>
        <w:t>INTRODUCED OCTOBER 22, 2020</w:t>
      </w:r>
    </w:p>
    <w:p w:rsidR="00075441" w:rsidRDefault="00075441" w:rsidP="00075441">
      <w:pPr>
        <w:pStyle w:val="bpuIntro"/>
      </w:pPr>
    </w:p>
    <w:p w:rsidR="00075441" w:rsidRDefault="00075441" w:rsidP="00075441">
      <w:pPr>
        <w:pStyle w:val="bpuIntro"/>
        <w:sectPr w:rsidR="00075441" w:rsidSect="00FB05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5441" w:rsidRDefault="00075441" w:rsidP="00075441">
      <w:pPr>
        <w:pStyle w:val="bpuIntro"/>
      </w:pPr>
    </w:p>
    <w:p w:rsidR="00075441" w:rsidRDefault="00075441" w:rsidP="00075441">
      <w:pPr>
        <w:pStyle w:val="bpuSponsor"/>
      </w:pPr>
      <w:r>
        <w:t>Sponsored by:</w:t>
      </w:r>
    </w:p>
    <w:p w:rsidR="00075441" w:rsidRDefault="00075441" w:rsidP="00075441">
      <w:pPr>
        <w:pStyle w:val="bpuSponsor"/>
      </w:pPr>
      <w:r>
        <w:t>Senator  LORETTA WEINBERG</w:t>
      </w:r>
    </w:p>
    <w:p w:rsidR="00075441" w:rsidRDefault="00075441" w:rsidP="00075441">
      <w:pPr>
        <w:pStyle w:val="bpuSponsor"/>
      </w:pPr>
      <w:r>
        <w:t>District 37 (Bergen)</w:t>
      </w:r>
    </w:p>
    <w:p w:rsidR="00075441" w:rsidRDefault="004112D4" w:rsidP="004112D4">
      <w:pPr>
        <w:pStyle w:val="bpuSponsor"/>
      </w:pPr>
      <w:r>
        <w:t>Senator  NIA H. GILL</w:t>
      </w:r>
    </w:p>
    <w:p w:rsidR="004112D4" w:rsidRDefault="004112D4" w:rsidP="004112D4">
      <w:pPr>
        <w:pStyle w:val="bpuSponsor"/>
      </w:pPr>
      <w:r>
        <w:t>District 34 (Essex and Passaic)</w:t>
      </w:r>
    </w:p>
    <w:p w:rsidR="004112D4" w:rsidRDefault="00FB05B9" w:rsidP="00FB05B9">
      <w:pPr>
        <w:pStyle w:val="bpuSponsor"/>
      </w:pPr>
      <w:r>
        <w:t>Assemblywoman  VALERIE VAINIERI HUTTLE</w:t>
      </w:r>
    </w:p>
    <w:p w:rsidR="00FB05B9" w:rsidRDefault="00FB05B9" w:rsidP="00FB05B9">
      <w:pPr>
        <w:pStyle w:val="bpuSponsor"/>
      </w:pPr>
      <w:r>
        <w:t>District 37 (Bergen)</w:t>
      </w:r>
    </w:p>
    <w:p w:rsidR="00FB05B9" w:rsidRDefault="00FB05B9" w:rsidP="00FB05B9">
      <w:pPr>
        <w:pStyle w:val="bpuSponsor"/>
      </w:pPr>
      <w:r>
        <w:t>Assemblywoman  ANGELA V. MCKNIGHT</w:t>
      </w:r>
    </w:p>
    <w:p w:rsidR="00FB05B9" w:rsidRDefault="00FB05B9" w:rsidP="00FB05B9">
      <w:pPr>
        <w:pStyle w:val="bpuSponsor"/>
      </w:pPr>
      <w:r>
        <w:t>District 31 (Hudson)</w:t>
      </w:r>
    </w:p>
    <w:p w:rsidR="00FB05B9" w:rsidRDefault="00FB05B9" w:rsidP="00FB05B9">
      <w:pPr>
        <w:pStyle w:val="bpuSponsor"/>
      </w:pPr>
      <w:r>
        <w:t>Assemblywoman  VERLINA REYNOLDS-JACKSON</w:t>
      </w:r>
    </w:p>
    <w:p w:rsidR="00FB05B9" w:rsidRDefault="00FB05B9" w:rsidP="00FB05B9">
      <w:pPr>
        <w:pStyle w:val="bpuSponsor"/>
      </w:pPr>
      <w:r>
        <w:t>District 15 (Hunterdon and Mercer)</w:t>
      </w:r>
    </w:p>
    <w:p w:rsidR="00FB05B9" w:rsidRPr="00FB05B9" w:rsidRDefault="00FB05B9" w:rsidP="00FB05B9"/>
    <w:p w:rsidR="001E06C6" w:rsidRDefault="00FB05B9" w:rsidP="00FB05B9">
      <w:pPr>
        <w:pStyle w:val="bpuSponsor"/>
      </w:pPr>
      <w:r>
        <w:t>Co-Sponsored by:</w:t>
      </w:r>
    </w:p>
    <w:p w:rsidR="00FB05B9" w:rsidRPr="00FB05B9" w:rsidRDefault="00FB05B9" w:rsidP="00FB05B9">
      <w:pPr>
        <w:pStyle w:val="bpuSponsor"/>
      </w:pPr>
      <w:r w:rsidRPr="00FB05B9">
        <w:t xml:space="preserve">Senators </w:t>
      </w:r>
      <w:proofErr w:type="spellStart"/>
      <w:r w:rsidRPr="00FB05B9">
        <w:t>Pou</w:t>
      </w:r>
      <w:proofErr w:type="spellEnd"/>
      <w:r w:rsidRPr="00FB05B9">
        <w:t xml:space="preserve">, Brown, Ruiz, Assemblywoman Lopez, Assemblymen Johnson, </w:t>
      </w:r>
      <w:proofErr w:type="spellStart"/>
      <w:r w:rsidRPr="00FB05B9">
        <w:t>Giblin</w:t>
      </w:r>
      <w:proofErr w:type="spellEnd"/>
      <w:r w:rsidRPr="00FB05B9">
        <w:t xml:space="preserve">, </w:t>
      </w:r>
      <w:proofErr w:type="spellStart"/>
      <w:r w:rsidRPr="00FB05B9">
        <w:t>Zwicker</w:t>
      </w:r>
      <w:proofErr w:type="spellEnd"/>
      <w:r w:rsidRPr="00FB05B9">
        <w:t xml:space="preserve">, Holley, Tully, McKeon, </w:t>
      </w:r>
      <w:proofErr w:type="spellStart"/>
      <w:r w:rsidRPr="00FB05B9">
        <w:t>Scharfenberger</w:t>
      </w:r>
      <w:proofErr w:type="spellEnd"/>
      <w:r w:rsidRPr="00FB05B9">
        <w:t xml:space="preserve">, Assemblywomen Downey, </w:t>
      </w:r>
      <w:proofErr w:type="spellStart"/>
      <w:r w:rsidRPr="00FB05B9">
        <w:t>N.Munoz</w:t>
      </w:r>
      <w:proofErr w:type="spellEnd"/>
      <w:r w:rsidRPr="00FB05B9">
        <w:t xml:space="preserve">, </w:t>
      </w:r>
      <w:proofErr w:type="spellStart"/>
      <w:r w:rsidRPr="00FB05B9">
        <w:t>Jasey</w:t>
      </w:r>
      <w:proofErr w:type="spellEnd"/>
      <w:r w:rsidRPr="00FB05B9">
        <w:t xml:space="preserve">, Swain, </w:t>
      </w:r>
      <w:proofErr w:type="spellStart"/>
      <w:r w:rsidRPr="00FB05B9">
        <w:t>Schepisi</w:t>
      </w:r>
      <w:proofErr w:type="spellEnd"/>
      <w:r w:rsidRPr="00FB05B9">
        <w:t xml:space="preserve"> and Timberlake</w:t>
      </w:r>
    </w:p>
    <w:p w:rsidR="007B6E27" w:rsidRDefault="007B6E27" w:rsidP="001E06C6"/>
    <w:p w:rsidR="00FB05B9" w:rsidRPr="001E06C6" w:rsidRDefault="00FB05B9" w:rsidP="001E06C6"/>
    <w:p w:rsidR="00075441" w:rsidRDefault="00075441" w:rsidP="00075441">
      <w:pPr>
        <w:pStyle w:val="bpuSponsor"/>
      </w:pPr>
    </w:p>
    <w:p w:rsidR="00075441" w:rsidRDefault="00075441" w:rsidP="00075441">
      <w:pPr>
        <w:pStyle w:val="bpuSponsor"/>
      </w:pPr>
    </w:p>
    <w:p w:rsidR="00075441" w:rsidRDefault="00075441" w:rsidP="00075441">
      <w:pPr>
        <w:pStyle w:val="bpuSponsor"/>
      </w:pPr>
      <w:r>
        <w:t>SYNOPSIS</w:t>
      </w:r>
    </w:p>
    <w:p w:rsidR="00075441" w:rsidRDefault="00346864" w:rsidP="00075441">
      <w:pPr>
        <w:pStyle w:val="bpuNormText"/>
      </w:pPr>
      <w:r>
        <w:tab/>
      </w:r>
      <w:r w:rsidR="00075441">
        <w:t>Requires sexual assault training for prosecutors.</w:t>
      </w:r>
    </w:p>
    <w:p w:rsidR="00075441" w:rsidRDefault="00075441" w:rsidP="00075441">
      <w:pPr>
        <w:pStyle w:val="bpuNormText"/>
      </w:pPr>
    </w:p>
    <w:p w:rsidR="00075441" w:rsidRDefault="00075441" w:rsidP="00075441">
      <w:pPr>
        <w:pStyle w:val="bpuSponsor"/>
      </w:pPr>
      <w:r>
        <w:t xml:space="preserve">CURRENT VERSION OF TEXT </w:t>
      </w:r>
    </w:p>
    <w:p w:rsidR="00075441" w:rsidRDefault="005F754B" w:rsidP="00075441">
      <w:pPr>
        <w:pStyle w:val="bpuNormText"/>
      </w:pPr>
      <w:r>
        <w:tab/>
        <w:t>As reported by the Senate Law and Public Safety Committee on December 10, 2020, with amendments.</w:t>
      </w:r>
    </w:p>
    <w:p w:rsidR="00075441" w:rsidRDefault="00075441" w:rsidP="000754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441" w:rsidRDefault="00075441" w:rsidP="008916EC">
      <w:pPr>
        <w:pStyle w:val="FronterPage"/>
        <w:tabs>
          <w:tab w:val="clear" w:pos="720"/>
          <w:tab w:val="clear" w:pos="1440"/>
          <w:tab w:val="clear" w:pos="2160"/>
          <w:tab w:val="clear" w:pos="2880"/>
          <w:tab w:val="clear" w:pos="3600"/>
          <w:tab w:val="clear" w:pos="4320"/>
          <w:tab w:val="clear" w:pos="5040"/>
        </w:tabs>
        <w:sectPr w:rsidR="00075441" w:rsidSect="00075441">
          <w:type w:val="continuous"/>
          <w:pgSz w:w="12240" w:h="20160" w:code="5"/>
          <w:pgMar w:top="1440" w:right="2275" w:bottom="1440" w:left="2275" w:header="72" w:footer="720" w:gutter="0"/>
          <w:pgNumType w:start="1"/>
          <w:cols w:space="720"/>
          <w:docGrid w:linePitch="360"/>
        </w:sectPr>
      </w:pPr>
    </w:p>
    <w:p w:rsidR="00686AEB" w:rsidRPr="00677316" w:rsidRDefault="00666DF5" w:rsidP="003E47BA">
      <w:pPr>
        <w:pStyle w:val="HangingAnAct"/>
        <w:rPr>
          <w:rStyle w:val="HangingAnActChar"/>
        </w:rPr>
      </w:pPr>
      <w:r>
        <w:rPr>
          <w:rStyle w:val="BillHead"/>
        </w:rPr>
        <w:lastRenderedPageBreak/>
        <w:t>An Act</w:t>
      </w:r>
      <w:r w:rsidR="00686AEB" w:rsidRPr="006B7FA7">
        <w:rPr>
          <w:rStyle w:val="HangingAnActChar"/>
        </w:rPr>
        <w:t xml:space="preserve"> </w:t>
      </w:r>
      <w:r w:rsidR="007C16EF">
        <w:t>concerning prosecutor training, supplementing chapter 4B of Title 52 of the Revised Statutes, and amending P.L.2001, c.81.</w:t>
      </w:r>
    </w:p>
    <w:p w:rsidR="000B1054" w:rsidRPr="00D71D68" w:rsidRDefault="000B1054" w:rsidP="000B1054"/>
    <w:p w:rsidR="00686AEB" w:rsidRPr="00AA7880" w:rsidRDefault="00686AEB" w:rsidP="00686AEB">
      <w:r>
        <w:tab/>
      </w:r>
      <w:r w:rsidR="00666DF5">
        <w:rPr>
          <w:rStyle w:val="BillHeading2"/>
        </w:rPr>
        <w:t>Be It Enacted</w:t>
      </w:r>
      <w:r>
        <w:rPr>
          <w:rStyle w:val="BillHeading2"/>
        </w:rPr>
        <w:t xml:space="preserve"> </w:t>
      </w:r>
      <w:r w:rsidR="00666DF5">
        <w:rPr>
          <w:rStyle w:val="BillLanguage"/>
        </w:rPr>
        <w:t>by the Senate and General Assembly of the State of New Jersey:</w:t>
      </w:r>
    </w:p>
    <w:p w:rsidR="00686AEB" w:rsidRDefault="00686AEB" w:rsidP="00686AEB"/>
    <w:p w:rsidR="00C300DF" w:rsidRDefault="00C300DF" w:rsidP="00C300DF">
      <w:pPr>
        <w:tabs>
          <w:tab w:val="clear" w:pos="2160"/>
          <w:tab w:val="left" w:pos="2340"/>
        </w:tabs>
      </w:pPr>
      <w:r>
        <w:tab/>
        <w:t>1.</w:t>
      </w:r>
      <w:r>
        <w:tab/>
        <w:t>(New section)</w:t>
      </w:r>
      <w:r>
        <w:tab/>
        <w:t xml:space="preserve">a.  The Division of Criminal Justice shall develop or approve a triennial in-service training course and curriculum specifically for </w:t>
      </w:r>
      <w:r>
        <w:rPr>
          <w:rFonts w:ascii="Albertus Extra Bold" w:hAnsi="Albertus Extra Bold"/>
          <w:b/>
          <w:vertAlign w:val="superscript"/>
        </w:rPr>
        <w:t>1</w:t>
      </w:r>
      <w:r>
        <w:rPr>
          <w:u w:val="single"/>
        </w:rPr>
        <w:t>every</w:t>
      </w:r>
      <w:r>
        <w:rPr>
          <w:rFonts w:ascii="Albertus Extra Bold" w:hAnsi="Albertus Extra Bold"/>
          <w:b/>
          <w:vertAlign w:val="superscript"/>
        </w:rPr>
        <w:t>1</w:t>
      </w:r>
      <w:r>
        <w:t xml:space="preserve"> </w:t>
      </w:r>
      <w:r w:rsidRPr="007F20EA">
        <w:t xml:space="preserve">county </w:t>
      </w:r>
      <w:r>
        <w:rPr>
          <w:rFonts w:ascii="Albertus Extra Bold" w:hAnsi="Albertus Extra Bold"/>
          <w:b/>
          <w:vertAlign w:val="superscript"/>
        </w:rPr>
        <w:t>1</w:t>
      </w:r>
      <w:r w:rsidRPr="00C7326D">
        <w:rPr>
          <w:rFonts w:ascii="Albertus Extra Bold" w:hAnsi="Albertus Extra Bold"/>
          <w:b/>
        </w:rPr>
        <w:t>[</w:t>
      </w:r>
      <w:r w:rsidRPr="007F20EA">
        <w:t>prosecutors</w:t>
      </w:r>
      <w:r w:rsidRPr="00C7326D">
        <w:rPr>
          <w:rFonts w:ascii="Albertus Extra Bold" w:hAnsi="Albertus Extra Bold"/>
          <w:b/>
        </w:rPr>
        <w:t>]</w:t>
      </w:r>
      <w:r>
        <w:t xml:space="preserve"> </w:t>
      </w:r>
      <w:r>
        <w:rPr>
          <w:u w:val="single"/>
        </w:rPr>
        <w:t>prosecutor</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each</w:t>
      </w:r>
      <w:r>
        <w:rPr>
          <w:rFonts w:ascii="Albertus Extra Bold" w:hAnsi="Albertus Extra Bold"/>
          <w:b/>
          <w:vertAlign w:val="superscript"/>
        </w:rPr>
        <w:t>1</w:t>
      </w:r>
      <w:r>
        <w:t xml:space="preserve"> assistant county </w:t>
      </w:r>
      <w:r>
        <w:rPr>
          <w:rFonts w:ascii="Albertus Extra Bold" w:hAnsi="Albertus Extra Bold"/>
          <w:b/>
          <w:vertAlign w:val="superscript"/>
        </w:rPr>
        <w:t>1</w:t>
      </w:r>
      <w:r w:rsidRPr="00C7326D">
        <w:rPr>
          <w:rFonts w:ascii="Albertus Extra Bold" w:hAnsi="Albertus Extra Bold"/>
          <w:b/>
        </w:rPr>
        <w:t>[</w:t>
      </w:r>
      <w:r>
        <w:t>prosecutors</w:t>
      </w:r>
      <w:r w:rsidRPr="00C7326D">
        <w:rPr>
          <w:rFonts w:ascii="Albertus Extra Bold" w:hAnsi="Albertus Extra Bold"/>
          <w:b/>
        </w:rPr>
        <w:t>]</w:t>
      </w:r>
      <w:r>
        <w:t xml:space="preserve"> </w:t>
      </w:r>
      <w:r>
        <w:rPr>
          <w:u w:val="single"/>
        </w:rPr>
        <w:t>prosecutor to whom sexual assault cases are assigned</w:t>
      </w:r>
      <w:r>
        <w:rPr>
          <w:rFonts w:ascii="Albertus Extra Bold" w:hAnsi="Albertus Extra Bold"/>
          <w:b/>
          <w:vertAlign w:val="superscript"/>
        </w:rPr>
        <w:t>1</w:t>
      </w:r>
      <w:r>
        <w:t xml:space="preserve"> on how to appropriately handle, investigate, and respond to reports of sexual assault.  </w:t>
      </w:r>
    </w:p>
    <w:p w:rsidR="00C300DF" w:rsidRDefault="00C300DF" w:rsidP="00C300DF">
      <w:r>
        <w:tab/>
        <w:t>b.</w:t>
      </w:r>
      <w:r>
        <w:tab/>
        <w:t xml:space="preserve">The training course and curriculum shall include a component emphasizing the value of restorative justice in sexual assault cases.  </w:t>
      </w:r>
    </w:p>
    <w:p w:rsidR="00C300DF" w:rsidRDefault="00C300DF" w:rsidP="00C300DF">
      <w:r>
        <w:tab/>
        <w:t>c.</w:t>
      </w:r>
      <w:r>
        <w:tab/>
        <w:t xml:space="preserve">The division shall make the training course and curriculum available to all </w:t>
      </w:r>
      <w:r w:rsidRPr="007F20EA">
        <w:t>county prosecutor’s offices in the State.</w:t>
      </w:r>
    </w:p>
    <w:p w:rsidR="00C300DF" w:rsidRDefault="00C300DF" w:rsidP="00C300DF">
      <w:r>
        <w:tab/>
        <w:t>d.</w:t>
      </w:r>
      <w:r>
        <w:tab/>
        <w:t>The</w:t>
      </w:r>
      <w:r w:rsidRPr="007F20EA">
        <w:t xml:space="preserve"> </w:t>
      </w:r>
      <w:r>
        <w:t xml:space="preserve">division shall review the </w:t>
      </w:r>
      <w:r w:rsidRPr="007F20EA">
        <w:t xml:space="preserve">training course and curriculum </w:t>
      </w:r>
      <w:r>
        <w:t>e</w:t>
      </w:r>
      <w:r w:rsidRPr="007F20EA">
        <w:t xml:space="preserve">very </w:t>
      </w:r>
      <w:r>
        <w:rPr>
          <w:rFonts w:ascii="Albertus Extra Bold" w:hAnsi="Albertus Extra Bold"/>
          <w:b/>
          <w:vertAlign w:val="superscript"/>
        </w:rPr>
        <w:t>1</w:t>
      </w:r>
      <w:r w:rsidRPr="00E20706">
        <w:rPr>
          <w:rFonts w:ascii="Albertus Extra Bold" w:hAnsi="Albertus Extra Bold"/>
          <w:b/>
        </w:rPr>
        <w:t>[</w:t>
      </w:r>
      <w:r w:rsidRPr="007F20EA">
        <w:t>two</w:t>
      </w:r>
      <w:r w:rsidRPr="00E20706">
        <w:rPr>
          <w:rFonts w:ascii="Albertus Extra Bold" w:hAnsi="Albertus Extra Bold"/>
          <w:b/>
        </w:rPr>
        <w:t>]</w:t>
      </w:r>
      <w:r>
        <w:t xml:space="preserve"> </w:t>
      </w:r>
      <w:r>
        <w:rPr>
          <w:u w:val="single"/>
        </w:rPr>
        <w:t>five</w:t>
      </w:r>
      <w:r>
        <w:rPr>
          <w:rFonts w:ascii="Albertus Extra Bold" w:hAnsi="Albertus Extra Bold"/>
          <w:b/>
          <w:vertAlign w:val="superscript"/>
        </w:rPr>
        <w:t>1</w:t>
      </w:r>
      <w:r w:rsidRPr="007F20EA">
        <w:t xml:space="preserve"> years</w:t>
      </w:r>
      <w:r>
        <w:t xml:space="preserve">, </w:t>
      </w:r>
      <w:r w:rsidRPr="007F20EA">
        <w:t xml:space="preserve">in </w:t>
      </w:r>
      <w:r>
        <w:rPr>
          <w:rFonts w:ascii="Albertus Extra Bold" w:hAnsi="Albertus Extra Bold"/>
          <w:b/>
          <w:vertAlign w:val="superscript"/>
        </w:rPr>
        <w:t>1</w:t>
      </w:r>
      <w:r w:rsidRPr="00E20706">
        <w:rPr>
          <w:rFonts w:ascii="Albertus Extra Bold" w:hAnsi="Albertus Extra Bold"/>
          <w:b/>
        </w:rPr>
        <w:t>[</w:t>
      </w:r>
      <w:r w:rsidRPr="007F20EA">
        <w:t>conjunction</w:t>
      </w:r>
      <w:r w:rsidRPr="00E20706">
        <w:rPr>
          <w:rFonts w:ascii="Albertus Extra Bold" w:hAnsi="Albertus Extra Bold"/>
          <w:b/>
        </w:rPr>
        <w:t>]</w:t>
      </w:r>
      <w:r>
        <w:t xml:space="preserve"> </w:t>
      </w:r>
      <w:r>
        <w:rPr>
          <w:u w:val="single"/>
        </w:rPr>
        <w:t>consultation</w:t>
      </w:r>
      <w:r>
        <w:rPr>
          <w:rFonts w:ascii="Albertus Extra Bold" w:hAnsi="Albertus Extra Bold"/>
          <w:b/>
          <w:vertAlign w:val="superscript"/>
        </w:rPr>
        <w:t>1</w:t>
      </w:r>
      <w:r w:rsidRPr="007F20EA">
        <w:t xml:space="preserve"> with nationally recognized trainers with expertise in trauma informed care and the New Jersey Coalition Against Sexual Assault, and</w:t>
      </w:r>
      <w:r>
        <w:t xml:space="preserve"> make any necessary modifications.  </w:t>
      </w:r>
    </w:p>
    <w:p w:rsidR="00C300DF" w:rsidRDefault="00C300DF" w:rsidP="00C300DF">
      <w:r>
        <w:tab/>
        <w:t>e.</w:t>
      </w:r>
      <w:r>
        <w:tab/>
        <w:t xml:space="preserve">The division may make the training course and curriculum available in an online format, but prosecutors shall complete the course and curriculum in person every six years.  </w:t>
      </w:r>
    </w:p>
    <w:p w:rsidR="00C300DF" w:rsidRDefault="00C300DF" w:rsidP="00C300DF">
      <w:pPr>
        <w:rPr>
          <w:u w:val="single"/>
        </w:rPr>
      </w:pPr>
      <w:r>
        <w:tab/>
        <w:t>f.</w:t>
      </w:r>
      <w:r>
        <w:tab/>
        <w:t xml:space="preserve">The Attorney General shall be responsible for ensuring that all county prosecutors and </w:t>
      </w:r>
      <w:r>
        <w:rPr>
          <w:rFonts w:ascii="Albertus Extra Bold" w:hAnsi="Albertus Extra Bold"/>
          <w:b/>
          <w:vertAlign w:val="superscript"/>
        </w:rPr>
        <w:t>1</w:t>
      </w:r>
      <w:r>
        <w:rPr>
          <w:u w:val="single"/>
        </w:rPr>
        <w:t>appropriate</w:t>
      </w:r>
      <w:r>
        <w:rPr>
          <w:rFonts w:ascii="Albertus Extra Bold" w:hAnsi="Albertus Extra Bold"/>
          <w:b/>
          <w:vertAlign w:val="superscript"/>
        </w:rPr>
        <w:t>1</w:t>
      </w:r>
      <w:r>
        <w:t xml:space="preserve"> assistant county prosecutors triennially complete the in-service training on handling sexual assault matters required by this section.  </w:t>
      </w:r>
    </w:p>
    <w:p w:rsidR="00C300DF" w:rsidRDefault="00C300DF" w:rsidP="00C300DF">
      <w:r w:rsidRPr="00780867">
        <w:tab/>
      </w:r>
      <w:r>
        <w:t>g.</w:t>
      </w:r>
      <w:r>
        <w:tab/>
        <w:t>A county prosecutor or assistant county prosecutor appointed after the effective date of P.L.     c.      (C.     ) (pending before the Legislature as this bill) shall complete the training course and curriculum within 60 days of the prosecutor’s initial appointment.    The division shall determine whether training in the handling of sexual assault cases completed by a prosecutor appointed prior to the effective date of P.L.     c.      (C.     ) (pending before the Legislature as this bill) complies with the requirements of this section.  If the training does not comply with these requirements, the prosecutor shall complete the training course and curriculum required by this section within 60 days of the effective date of  P.L.     c.      (C.     ) (pending before the Legislature as this bill).</w:t>
      </w:r>
    </w:p>
    <w:p w:rsidR="00C300DF" w:rsidRDefault="00C300DF" w:rsidP="00C300DF">
      <w:r>
        <w:tab/>
        <w:t>h.</w:t>
      </w:r>
      <w:r>
        <w:tab/>
        <w:t xml:space="preserve">The division shall develop an open process pursuant to which the division will accept bids by organizations to assist in developing and providing the training required by this section.  </w:t>
      </w:r>
      <w:r>
        <w:tab/>
      </w:r>
      <w:r>
        <w:br w:type="page"/>
      </w:r>
    </w:p>
    <w:p w:rsidR="00922D8E" w:rsidRDefault="00922D8E" w:rsidP="00922D8E">
      <w:r>
        <w:tab/>
        <w:t>2.</w:t>
      </w:r>
      <w:r>
        <w:tab/>
        <w:t xml:space="preserve">Section 8 of P.L.2001, c.81 (C.52:4B-56) is amended to read as follows:  </w:t>
      </w:r>
    </w:p>
    <w:p w:rsidR="00922D8E" w:rsidRDefault="00922D8E" w:rsidP="00922D8E">
      <w:r>
        <w:tab/>
        <w:t>8.</w:t>
      </w:r>
      <w:r>
        <w:tab/>
        <w:t>The Attorney General shall establish a sexual assault unit within the Department of Law and Public Safety which shall include a sexual assault investigator and a certified forensic sexual assault nurse examiner.</w:t>
      </w:r>
    </w:p>
    <w:p w:rsidR="00922D8E" w:rsidRDefault="00922D8E" w:rsidP="00922D8E">
      <w:pPr>
        <w:rPr>
          <w:u w:val="single"/>
        </w:rPr>
      </w:pPr>
      <w:r>
        <w:tab/>
        <w:t xml:space="preserve">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  </w:t>
      </w:r>
      <w:r>
        <w:rPr>
          <w:u w:val="single"/>
        </w:rPr>
        <w:t xml:space="preserve">Any training the unit may provide to county prosecutors and assistant county prosecutors shall comply with the requirements of section 1 of </w:t>
      </w:r>
      <w:r w:rsidRPr="00DC51A8">
        <w:rPr>
          <w:u w:val="single"/>
        </w:rPr>
        <w:t>P.L</w:t>
      </w:r>
      <w:r>
        <w:rPr>
          <w:u w:val="single"/>
        </w:rPr>
        <w:t xml:space="preserve">.     , c.    </w:t>
      </w:r>
      <w:r w:rsidRPr="00DC51A8">
        <w:rPr>
          <w:u w:val="single"/>
        </w:rPr>
        <w:t xml:space="preserve"> (C.</w:t>
      </w:r>
      <w:r>
        <w:rPr>
          <w:u w:val="single"/>
        </w:rPr>
        <w:t xml:space="preserve">     </w:t>
      </w:r>
      <w:r w:rsidRPr="00B24E76">
        <w:rPr>
          <w:u w:val="single"/>
        </w:rPr>
        <w:t>)</w:t>
      </w:r>
      <w:r>
        <w:rPr>
          <w:u w:val="single"/>
        </w:rPr>
        <w:t xml:space="preserve"> (pending before the Legislature as this bill)</w:t>
      </w:r>
      <w:r w:rsidRPr="00DC51A8">
        <w:t>.</w:t>
      </w:r>
      <w:r>
        <w:rPr>
          <w:u w:val="single"/>
        </w:rPr>
        <w:t xml:space="preserve"> </w:t>
      </w:r>
    </w:p>
    <w:p w:rsidR="00922D8E" w:rsidRDefault="00922D8E" w:rsidP="00922D8E">
      <w:r>
        <w:t>(</w:t>
      </w:r>
      <w:proofErr w:type="spellStart"/>
      <w:r>
        <w:t>cf</w:t>
      </w:r>
      <w:proofErr w:type="spellEnd"/>
      <w:r>
        <w:t>:  P.L.2001, c.81, s.8)</w:t>
      </w:r>
    </w:p>
    <w:p w:rsidR="00922D8E" w:rsidRDefault="00922D8E" w:rsidP="00922D8E"/>
    <w:p w:rsidR="007F20EA" w:rsidRDefault="00922D8E" w:rsidP="00922D8E">
      <w:r>
        <w:tab/>
        <w:t>3.</w:t>
      </w:r>
      <w:r>
        <w:tab/>
        <w:t xml:space="preserve">This act shall take effect on the first day of the fourth month next following enactment. </w:t>
      </w:r>
      <w:r w:rsidR="007F20EA">
        <w:t xml:space="preserve"> </w:t>
      </w:r>
    </w:p>
    <w:sectPr w:rsidR="007F20EA" w:rsidSect="00C300DF">
      <w:headerReference w:type="default" r:id="rId13"/>
      <w:footerReference w:type="default" r:id="rId14"/>
      <w:headerReference w:type="first" r:id="rId15"/>
      <w:footerReference w:type="first" r:id="rId16"/>
      <w:pgSz w:w="12240" w:h="20160" w:code="5"/>
      <w:pgMar w:top="1440" w:right="2520" w:bottom="1872"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2D4" w:rsidRDefault="00FB05B9" w:rsidP="00FB05B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F5" w:rsidRPr="00921C91" w:rsidRDefault="00666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6DF5" w:rsidRPr="00921C91" w:rsidRDefault="00666DF5">
    <w:pPr>
      <w:pStyle w:val="Footer"/>
      <w:rPr>
        <w:szCs w:val="18"/>
      </w:rPr>
    </w:pPr>
  </w:p>
  <w:p w:rsidR="00666DF5" w:rsidRPr="00921C91" w:rsidRDefault="00666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754B" w:rsidRDefault="005F754B" w:rsidP="00686AEB">
    <w:pPr>
      <w:pStyle w:val="Footer"/>
    </w:pPr>
    <w:r>
      <w:tab/>
      <w:t>Matter enclosed in superscript numerals has been adopted as follows:</w:t>
    </w:r>
  </w:p>
  <w:p w:rsidR="005F754B" w:rsidRDefault="005F75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5F754B" w:rsidRPr="005F754B" w:rsidRDefault="005F75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11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2D4" w:rsidRDefault="004112D4" w:rsidP="004112D4">
    <w:pPr>
      <w:pStyle w:val="bpuHeadSpon"/>
    </w:pPr>
    <w:r w:rsidRPr="00075441">
      <w:rPr>
        <w:rStyle w:val="bpuHeadSponChar"/>
      </w:rPr>
      <w:t>S3076</w:t>
    </w:r>
    <w:r>
      <w:t xml:space="preserve"> </w:t>
    </w:r>
    <w:r w:rsidR="005F754B">
      <w:t xml:space="preserve">[1R] </w:t>
    </w:r>
    <w:r>
      <w:t>WEINBERG, GILL</w:t>
    </w:r>
  </w:p>
  <w:p w:rsidR="00075441" w:rsidRDefault="00075441" w:rsidP="00075441">
    <w:pPr>
      <w:pStyle w:val="bpuHeadSpon"/>
    </w:pPr>
    <w:r>
      <w:fldChar w:fldCharType="begin"/>
    </w:r>
    <w:r>
      <w:instrText xml:space="preserve"> PAGE  \* MERGEFORMAT </w:instrText>
    </w:r>
    <w:r>
      <w:fldChar w:fldCharType="separate"/>
    </w:r>
    <w:r w:rsidR="00B9394B">
      <w:rPr>
        <w:noProof/>
      </w:rPr>
      <w:t>3</w:t>
    </w:r>
    <w:r>
      <w:fldChar w:fldCharType="end"/>
    </w:r>
  </w:p>
  <w:p w:rsidR="00075441" w:rsidRDefault="00075441" w:rsidP="00075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441" w:rsidRDefault="00075441" w:rsidP="00075441">
    <w:pPr>
      <w:pStyle w:val="bpuHeadSpon"/>
    </w:pPr>
    <w:r w:rsidRPr="00075441">
      <w:rPr>
        <w:rStyle w:val="bpuHeadSponChar"/>
      </w:rPr>
      <w:t>S3076</w:t>
    </w:r>
    <w:r>
      <w:t xml:space="preserve"> </w:t>
    </w:r>
    <w:r w:rsidR="005F754B">
      <w:t xml:space="preserve">[1R] </w:t>
    </w:r>
    <w:r>
      <w:t>WEINBERG</w:t>
    </w:r>
    <w:r w:rsidR="004112D4">
      <w:t>, GILL</w:t>
    </w:r>
  </w:p>
  <w:p w:rsidR="00075441" w:rsidRDefault="00075441" w:rsidP="00075441">
    <w:pPr>
      <w:pStyle w:val="bpuHeadSpon"/>
    </w:pPr>
    <w:r>
      <w:fldChar w:fldCharType="begin"/>
    </w:r>
    <w:r>
      <w:instrText xml:space="preserve"> PAGE  \* MERGEFORMAT </w:instrText>
    </w:r>
    <w:r>
      <w:fldChar w:fldCharType="separate"/>
    </w:r>
    <w:r w:rsidR="00B9394B">
      <w:rPr>
        <w:noProof/>
      </w:rPr>
      <w:t>2</w:t>
    </w:r>
    <w:r>
      <w:fldChar w:fldCharType="end"/>
    </w:r>
  </w:p>
  <w:p w:rsidR="00075441" w:rsidRDefault="00075441" w:rsidP="00075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75441"/>
    <w:rsid w:val="0008141C"/>
    <w:rsid w:val="00094A55"/>
    <w:rsid w:val="000A44A7"/>
    <w:rsid w:val="000B1054"/>
    <w:rsid w:val="000B3411"/>
    <w:rsid w:val="000C054C"/>
    <w:rsid w:val="000C12C2"/>
    <w:rsid w:val="000D11AF"/>
    <w:rsid w:val="000D6255"/>
    <w:rsid w:val="000D6262"/>
    <w:rsid w:val="000D7B4A"/>
    <w:rsid w:val="000E4006"/>
    <w:rsid w:val="000F1F62"/>
    <w:rsid w:val="000F3DA2"/>
    <w:rsid w:val="000F5FDE"/>
    <w:rsid w:val="000F7466"/>
    <w:rsid w:val="00112B4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6C6"/>
    <w:rsid w:val="001E15F1"/>
    <w:rsid w:val="001E16FA"/>
    <w:rsid w:val="001E6213"/>
    <w:rsid w:val="001F14C7"/>
    <w:rsid w:val="001F7405"/>
    <w:rsid w:val="00205533"/>
    <w:rsid w:val="00212B8D"/>
    <w:rsid w:val="00222983"/>
    <w:rsid w:val="002370D0"/>
    <w:rsid w:val="00242292"/>
    <w:rsid w:val="00247023"/>
    <w:rsid w:val="0024761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864"/>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2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2C"/>
    <w:rsid w:val="005F754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DF5"/>
    <w:rsid w:val="00667A5C"/>
    <w:rsid w:val="00677316"/>
    <w:rsid w:val="006775D0"/>
    <w:rsid w:val="00686AEB"/>
    <w:rsid w:val="006B7897"/>
    <w:rsid w:val="006B7FA7"/>
    <w:rsid w:val="006C086A"/>
    <w:rsid w:val="006C21C1"/>
    <w:rsid w:val="006C7327"/>
    <w:rsid w:val="006D00E5"/>
    <w:rsid w:val="006D791B"/>
    <w:rsid w:val="006E2895"/>
    <w:rsid w:val="006F180D"/>
    <w:rsid w:val="006F1F42"/>
    <w:rsid w:val="006F4334"/>
    <w:rsid w:val="006F47AF"/>
    <w:rsid w:val="006F6B8A"/>
    <w:rsid w:val="00701D4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A3B"/>
    <w:rsid w:val="007B6E27"/>
    <w:rsid w:val="007C0E14"/>
    <w:rsid w:val="007C16EF"/>
    <w:rsid w:val="007C7DE4"/>
    <w:rsid w:val="007D019C"/>
    <w:rsid w:val="007D40CB"/>
    <w:rsid w:val="007D5796"/>
    <w:rsid w:val="007D59C0"/>
    <w:rsid w:val="007D7D9C"/>
    <w:rsid w:val="007E1A91"/>
    <w:rsid w:val="007F20EA"/>
    <w:rsid w:val="007F485D"/>
    <w:rsid w:val="007F6050"/>
    <w:rsid w:val="00813627"/>
    <w:rsid w:val="00832816"/>
    <w:rsid w:val="00837109"/>
    <w:rsid w:val="00840365"/>
    <w:rsid w:val="008406A3"/>
    <w:rsid w:val="00841D2C"/>
    <w:rsid w:val="008427CD"/>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D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AF"/>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02044"/>
    <w:rsid w:val="00A11228"/>
    <w:rsid w:val="00A20DD5"/>
    <w:rsid w:val="00A222C2"/>
    <w:rsid w:val="00A305D6"/>
    <w:rsid w:val="00A342C4"/>
    <w:rsid w:val="00A50F6B"/>
    <w:rsid w:val="00A52237"/>
    <w:rsid w:val="00A551D6"/>
    <w:rsid w:val="00A6251B"/>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23"/>
    <w:rsid w:val="00B90E33"/>
    <w:rsid w:val="00B9394B"/>
    <w:rsid w:val="00B9676B"/>
    <w:rsid w:val="00BA2EA5"/>
    <w:rsid w:val="00BA364B"/>
    <w:rsid w:val="00BB1190"/>
    <w:rsid w:val="00BB31D0"/>
    <w:rsid w:val="00BB3A11"/>
    <w:rsid w:val="00BB4DDB"/>
    <w:rsid w:val="00BB5D79"/>
    <w:rsid w:val="00BB5F02"/>
    <w:rsid w:val="00BC74A6"/>
    <w:rsid w:val="00BC7892"/>
    <w:rsid w:val="00BE24D6"/>
    <w:rsid w:val="00BE7EFA"/>
    <w:rsid w:val="00BF06AD"/>
    <w:rsid w:val="00BF2C67"/>
    <w:rsid w:val="00C04F4D"/>
    <w:rsid w:val="00C12E48"/>
    <w:rsid w:val="00C13D14"/>
    <w:rsid w:val="00C15F53"/>
    <w:rsid w:val="00C203A8"/>
    <w:rsid w:val="00C23F09"/>
    <w:rsid w:val="00C25356"/>
    <w:rsid w:val="00C300DF"/>
    <w:rsid w:val="00C328D0"/>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5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62280"/>
    <w:rsid w:val="00E7144F"/>
    <w:rsid w:val="00E73D74"/>
    <w:rsid w:val="00E76A79"/>
    <w:rsid w:val="00E80692"/>
    <w:rsid w:val="00E80C24"/>
    <w:rsid w:val="00E93836"/>
    <w:rsid w:val="00EA5EF9"/>
    <w:rsid w:val="00EA7C16"/>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709B3"/>
    <w:rsid w:val="00F71A5E"/>
    <w:rsid w:val="00F854AE"/>
    <w:rsid w:val="00FA0AFC"/>
    <w:rsid w:val="00FA1C82"/>
    <w:rsid w:val="00FA2ED1"/>
    <w:rsid w:val="00FA4A52"/>
    <w:rsid w:val="00FB05B9"/>
    <w:rsid w:val="00FB4045"/>
    <w:rsid w:val="00FB4D8E"/>
    <w:rsid w:val="00FB66CC"/>
    <w:rsid w:val="00FC0D0A"/>
    <w:rsid w:val="00FC1B0B"/>
    <w:rsid w:val="00FD2C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851764"/>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07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3816</Characters>
  <Application>Microsoft Office Word</Application>
  <DocSecurity>0</DocSecurity>
  <Lines>107</Lines>
  <Paragraphs>37</Paragraphs>
  <ScaleCrop>false</ScaleCrop>
  <HeadingPairs>
    <vt:vector size="2" baseType="variant">
      <vt:variant>
        <vt:lpstr>Title</vt:lpstr>
      </vt:variant>
      <vt:variant>
        <vt:i4>1</vt:i4>
      </vt:variant>
    </vt:vector>
  </HeadingPairs>
  <TitlesOfParts>
    <vt:vector size="1" baseType="lpstr">
      <vt:lpstr>S3076 1R</vt:lpstr>
    </vt:vector>
  </TitlesOfParts>
  <Manager>R225</Manager>
  <Company>NJ Office of Legislative Services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S3076 1R</dc:title>
  <dc:subject/>
  <dc:creator>Senator  WEINBERG</dc:creator>
  <cp:keywords>S3076|3|LP |160|92|301|!|0|</cp:keywords>
  <dc:description>INTRODUCED OCTOBER 22, 2020_x000d_
Amended 12/10/20</dc:description>
  <cp:lastModifiedBy>Todaro, Vivian</cp:lastModifiedBy>
  <cp:revision>2</cp:revision>
  <cp:lastPrinted>2021-03-02T19:21:00Z</cp:lastPrinted>
  <dcterms:created xsi:type="dcterms:W3CDTF">2021-03-02T19:21:00Z</dcterms:created>
  <dcterms:modified xsi:type="dcterms:W3CDTF">2021-03-02T19:21:00Z</dcterms:modified>
  <cp:category>s.1 to 52:4B-54.2 thru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