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93B76" w:rsidP="00407C9E">
      <w:pPr>
        <w:pStyle w:val="NoteOrEstimate"/>
      </w:pPr>
      <w:r>
        <w:t>LEGISLATIVE FISCAL ESTIMATE</w:t>
      </w:r>
    </w:p>
    <w:p w:rsidR="00993B76" w:rsidRPr="00993B76" w:rsidRDefault="00993B76" w:rsidP="00993B76">
      <w:pPr>
        <w:pStyle w:val="Reprint"/>
      </w:pPr>
      <w:r>
        <w:t>[First Reprint]</w:t>
      </w:r>
    </w:p>
    <w:p w:rsidR="003C5892" w:rsidRDefault="00993B7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E31EF" w:rsidP="003E31EF">
      <w:pPr>
        <w:pStyle w:val="BillNo"/>
      </w:pPr>
      <w:r>
        <w:t>219th LEGISLATURE</w:t>
      </w:r>
    </w:p>
    <w:p w:rsidR="00353325" w:rsidRDefault="00353325" w:rsidP="00353325"/>
    <w:p w:rsidR="003E31EF" w:rsidRDefault="003E31EF" w:rsidP="003E31EF">
      <w:pPr>
        <w:jc w:val="center"/>
      </w:pPr>
      <w:r>
        <w:t>DATED: JUNE 24, 2021</w:t>
      </w:r>
    </w:p>
    <w:p w:rsidR="003E31EF" w:rsidRDefault="003E31EF" w:rsidP="00353325"/>
    <w:p w:rsidR="003E31EF" w:rsidRDefault="003E31EF" w:rsidP="00353325"/>
    <w:p w:rsidR="000821B1" w:rsidRPr="003C5892" w:rsidRDefault="000821B1" w:rsidP="000821B1">
      <w:pPr>
        <w:pStyle w:val="SectionHeading"/>
        <w:tabs>
          <w:tab w:val="left" w:pos="360"/>
          <w:tab w:val="left" w:pos="720"/>
          <w:tab w:val="left" w:pos="1440"/>
          <w:tab w:val="left" w:pos="2160"/>
          <w:tab w:val="left" w:pos="2880"/>
          <w:tab w:val="left" w:pos="3600"/>
          <w:tab w:val="left" w:pos="4320"/>
          <w:tab w:val="left" w:pos="5040"/>
        </w:tabs>
      </w:pPr>
      <w:r>
        <w:t>SUMMARY</w:t>
      </w:r>
    </w:p>
    <w:p w:rsidR="000821B1" w:rsidRDefault="000821B1" w:rsidP="000821B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821B1" w:rsidTr="001E3EEC">
        <w:trPr>
          <w:trHeight w:val="576"/>
        </w:trPr>
        <w:tc>
          <w:tcPr>
            <w:tcW w:w="2333" w:type="dxa"/>
          </w:tcPr>
          <w:p w:rsidR="000821B1" w:rsidRPr="003C5892" w:rsidRDefault="000821B1" w:rsidP="001E3EE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821B1" w:rsidRDefault="000821B1" w:rsidP="001E3EEC">
            <w:r w:rsidRPr="00D94420">
              <w:t>Authorizes fixed odds wagering on horse races through fixed odds wagering system</w:t>
            </w:r>
            <w:r>
              <w:t>.</w:t>
            </w:r>
          </w:p>
        </w:tc>
      </w:tr>
      <w:tr w:rsidR="000821B1" w:rsidTr="001E3EEC">
        <w:trPr>
          <w:trHeight w:val="576"/>
        </w:trPr>
        <w:tc>
          <w:tcPr>
            <w:tcW w:w="2333" w:type="dxa"/>
          </w:tcPr>
          <w:p w:rsidR="000821B1" w:rsidRPr="003C5892" w:rsidRDefault="000821B1" w:rsidP="001E3EE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821B1" w:rsidRDefault="000821B1" w:rsidP="001E3EEC">
            <w:r>
              <w:t>State expenditure and revenue increases.</w:t>
            </w:r>
          </w:p>
        </w:tc>
      </w:tr>
      <w:tr w:rsidR="000821B1" w:rsidTr="001E3EEC">
        <w:trPr>
          <w:trHeight w:val="576"/>
        </w:trPr>
        <w:tc>
          <w:tcPr>
            <w:tcW w:w="2333" w:type="dxa"/>
          </w:tcPr>
          <w:p w:rsidR="000821B1" w:rsidRPr="003C5892" w:rsidRDefault="000821B1" w:rsidP="001E3EE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821B1" w:rsidRDefault="000821B1" w:rsidP="001E3EEC">
            <w:r>
              <w:t>Division of Gaming Enforcement and the New Jersey Racing Commission in the Department of Law and Public Safety; New Jersey Sports and Exposition Authority.</w:t>
            </w:r>
          </w:p>
        </w:tc>
      </w:tr>
    </w:tbl>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0821B1" w:rsidTr="001E3EEC">
        <w:trPr>
          <w:trHeight w:val="410"/>
        </w:trPr>
        <w:tc>
          <w:tcPr>
            <w:tcW w:w="9375" w:type="dxa"/>
            <w:gridSpan w:val="5"/>
            <w:tcBorders>
              <w:top w:val="nil"/>
              <w:left w:val="nil"/>
              <w:bottom w:val="nil"/>
              <w:right w:val="nil"/>
            </w:tcBorders>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821B1" w:rsidTr="001E3EEC">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821B1" w:rsidTr="001E3EEC">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0821B1" w:rsidRDefault="000821B1" w:rsidP="001E3EEC">
            <w:pPr>
              <w:tabs>
                <w:tab w:val="left" w:pos="360"/>
                <w:tab w:val="left" w:pos="720"/>
                <w:tab w:val="left" w:pos="1440"/>
                <w:tab w:val="left" w:pos="2160"/>
                <w:tab w:val="left" w:pos="2880"/>
                <w:tab w:val="left" w:pos="3600"/>
                <w:tab w:val="left" w:pos="4320"/>
                <w:tab w:val="left" w:pos="5040"/>
              </w:tabs>
            </w:pPr>
            <w:r>
              <w:t xml:space="preserve">                                      Indeterminate</w:t>
            </w:r>
          </w:p>
        </w:tc>
      </w:tr>
      <w:tr w:rsidR="000821B1" w:rsidTr="001E3EEC">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0821B1" w:rsidRPr="00F11982" w:rsidRDefault="000821B1" w:rsidP="001E3EEC">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Revenue</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0821B1" w:rsidRDefault="000821B1" w:rsidP="001E3EEC">
            <w:pPr>
              <w:tabs>
                <w:tab w:val="left" w:pos="360"/>
                <w:tab w:val="left" w:pos="720"/>
                <w:tab w:val="left" w:pos="1440"/>
                <w:tab w:val="left" w:pos="2160"/>
                <w:tab w:val="left" w:pos="2880"/>
                <w:tab w:val="left" w:pos="3600"/>
                <w:tab w:val="left" w:pos="4320"/>
                <w:tab w:val="left" w:pos="5040"/>
              </w:tabs>
            </w:pPr>
            <w:r>
              <w:t xml:space="preserve">                                      Indeterminate</w:t>
            </w:r>
          </w:p>
        </w:tc>
      </w:tr>
      <w:tr w:rsidR="000821B1" w:rsidTr="001E3EE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821B1" w:rsidRDefault="000821B1" w:rsidP="001E3EEC">
            <w:pPr>
              <w:tabs>
                <w:tab w:val="left" w:pos="360"/>
                <w:tab w:val="left" w:pos="720"/>
                <w:tab w:val="left" w:pos="1440"/>
                <w:tab w:val="left" w:pos="2160"/>
                <w:tab w:val="left" w:pos="2880"/>
                <w:tab w:val="left" w:pos="3600"/>
                <w:tab w:val="left" w:pos="4320"/>
                <w:tab w:val="left" w:pos="5040"/>
              </w:tabs>
            </w:pPr>
          </w:p>
        </w:tc>
      </w:tr>
    </w:tbl>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3E31EF">
      <w:pPr>
        <w:pStyle w:val="StyleBulletedSymbolsymbol"/>
        <w:tabs>
          <w:tab w:val="left" w:pos="360"/>
          <w:tab w:val="left" w:pos="720"/>
          <w:tab w:val="left" w:pos="1440"/>
          <w:tab w:val="left" w:pos="2160"/>
          <w:tab w:val="left" w:pos="2880"/>
          <w:tab w:val="left" w:pos="3600"/>
          <w:tab w:val="left" w:pos="4320"/>
          <w:tab w:val="left" w:pos="5040"/>
        </w:tabs>
        <w:spacing w:after="0"/>
      </w:pPr>
      <w:r w:rsidRPr="00BC762C">
        <w:t xml:space="preserve">The Office of Legislative Services </w:t>
      </w:r>
      <w:r w:rsidR="000177A2">
        <w:t xml:space="preserve">(OLS) </w:t>
      </w:r>
      <w:r w:rsidRPr="00BC762C">
        <w:t xml:space="preserve">anticipates that the bill will increase annual State administrative expenditures by an indeterminate amount ascribable to the oversight and regulation of fixed odds wagering, including the licensing of operators and employees of fixed odds wagering systems. </w:t>
      </w:r>
    </w:p>
    <w:p w:rsidR="003E31EF" w:rsidRDefault="003E31EF" w:rsidP="003E31E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821B1" w:rsidRDefault="000821B1" w:rsidP="003E31EF">
      <w:pPr>
        <w:pStyle w:val="StyleBulletedSymbolsymbol"/>
        <w:tabs>
          <w:tab w:val="left" w:pos="360"/>
          <w:tab w:val="left" w:pos="720"/>
          <w:tab w:val="left" w:pos="1440"/>
          <w:tab w:val="left" w:pos="2160"/>
          <w:tab w:val="left" w:pos="2880"/>
          <w:tab w:val="left" w:pos="3600"/>
          <w:tab w:val="left" w:pos="4320"/>
          <w:tab w:val="left" w:pos="5040"/>
        </w:tabs>
        <w:spacing w:after="0"/>
      </w:pPr>
      <w:r w:rsidRPr="00BC762C">
        <w:t xml:space="preserve">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w:t>
      </w:r>
    </w:p>
    <w:p w:rsidR="003E31EF" w:rsidRDefault="003E31EF" w:rsidP="003E31E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821B1" w:rsidRDefault="000821B1" w:rsidP="003E31EF">
      <w:pPr>
        <w:pStyle w:val="StyleBulletedSymbolsymbol"/>
        <w:tabs>
          <w:tab w:val="left" w:pos="360"/>
          <w:tab w:val="left" w:pos="720"/>
          <w:tab w:val="left" w:pos="1440"/>
          <w:tab w:val="left" w:pos="2160"/>
          <w:tab w:val="left" w:pos="2880"/>
          <w:tab w:val="left" w:pos="3600"/>
          <w:tab w:val="left" w:pos="4320"/>
          <w:tab w:val="left" w:pos="5040"/>
        </w:tabs>
        <w:spacing w:after="0"/>
      </w:pPr>
      <w:r w:rsidRPr="00BC762C">
        <w:t>Depending on circumstances, the State share of dormant account and expired ticket distributions may be credited to the General Fund or the off-budget New Jersey Racing Industry Special Fund.</w:t>
      </w:r>
      <w:r w:rsidRPr="00786D6E">
        <w:t xml:space="preserve">  </w:t>
      </w:r>
    </w:p>
    <w:p w:rsidR="003E31EF" w:rsidRDefault="003E31EF" w:rsidP="003E31E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821B1" w:rsidRDefault="000821B1" w:rsidP="000821B1">
      <w:pPr>
        <w:pStyle w:val="StyleBulletedSymbolsymbol"/>
        <w:tabs>
          <w:tab w:val="num" w:pos="360"/>
        </w:tabs>
      </w:pPr>
      <w:r>
        <w:t>T</w:t>
      </w:r>
      <w:r w:rsidRPr="00786D6E">
        <w:t xml:space="preserve">he New Jersey Sports and Exposition Authority will incur costs to develop and operate the fixed odds wagering system in accordance with the rules and regulations established by the division or </w:t>
      </w:r>
      <w:r>
        <w:t xml:space="preserve">to </w:t>
      </w:r>
      <w:r w:rsidRPr="00786D6E">
        <w:t>contract for those services as approved by the division and the Attorney General.</w:t>
      </w:r>
    </w:p>
    <w:p w:rsidR="000821B1" w:rsidRPr="00255944" w:rsidRDefault="000821B1" w:rsidP="000821B1">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Pr="00D94420" w:rsidRDefault="000821B1" w:rsidP="000821B1">
      <w:pPr>
        <w:tabs>
          <w:tab w:val="left" w:pos="360"/>
          <w:tab w:val="left" w:pos="720"/>
          <w:tab w:val="left" w:pos="1440"/>
          <w:tab w:val="left" w:pos="2160"/>
          <w:tab w:val="left" w:pos="2880"/>
          <w:tab w:val="left" w:pos="3600"/>
          <w:tab w:val="left" w:pos="4320"/>
          <w:tab w:val="left" w:pos="5040"/>
        </w:tabs>
      </w:pPr>
      <w:r w:rsidRPr="00255944">
        <w:tab/>
      </w:r>
      <w:r w:rsidRPr="00D94420">
        <w:t xml:space="preserve">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 </w:t>
      </w:r>
    </w:p>
    <w:p w:rsidR="000821B1" w:rsidRPr="00D94420" w:rsidRDefault="000821B1" w:rsidP="000821B1">
      <w:pPr>
        <w:tabs>
          <w:tab w:val="left" w:pos="360"/>
          <w:tab w:val="left" w:pos="720"/>
          <w:tab w:val="left" w:pos="1440"/>
          <w:tab w:val="left" w:pos="2160"/>
          <w:tab w:val="left" w:pos="2880"/>
          <w:tab w:val="left" w:pos="3600"/>
          <w:tab w:val="left" w:pos="4320"/>
          <w:tab w:val="left" w:pos="5040"/>
        </w:tabs>
      </w:pPr>
      <w:r>
        <w:tab/>
      </w:r>
      <w:r w:rsidRPr="00D94420">
        <w:t xml:space="preserve">Under the bill, “fixed odds wagering” is defined as a form of horse racing wagering against odds offered by a bookmaker in which account holders may lock in their odds when the bet is first placed and no fluctuation in potential payout may occur.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 </w:t>
      </w:r>
    </w:p>
    <w:p w:rsidR="000821B1" w:rsidRPr="00D94420" w:rsidRDefault="000821B1" w:rsidP="000821B1">
      <w:pPr>
        <w:tabs>
          <w:tab w:val="left" w:pos="360"/>
          <w:tab w:val="left" w:pos="720"/>
          <w:tab w:val="left" w:pos="1440"/>
          <w:tab w:val="left" w:pos="2160"/>
          <w:tab w:val="left" w:pos="2880"/>
          <w:tab w:val="left" w:pos="3600"/>
          <w:tab w:val="left" w:pos="4320"/>
          <w:tab w:val="left" w:pos="5040"/>
        </w:tabs>
      </w:pPr>
      <w:r>
        <w:tab/>
      </w:r>
      <w:r w:rsidRPr="00D94420">
        <w:t xml:space="preserve">The bill authorizes the division to consider an application by the authority to establish the system. The division is to issue the license if it determines that the authority has demonstrated, by clear </w:t>
      </w:r>
      <w:r>
        <w:t>a</w:t>
      </w:r>
      <w:r w:rsidRPr="00D94420">
        <w:t xml:space="preserve">nd convincing evidence, that wagers placed through the proposed system will be accurately processed, and that the fixed odds wagering system would contain sufficient safeguards to maintain the integrity of the horse racing industry in this State. The issuance of the license is subject to the approval of the New Jersey Attorney General. The bill further provides that the authority may enter into a contract or agreement with a person or entity to conduct or operate the system, and may transfer the license to a successor in interest upon approval of the division and the Attorney General. </w:t>
      </w:r>
    </w:p>
    <w:p w:rsidR="000821B1" w:rsidRPr="00D94420" w:rsidRDefault="000821B1" w:rsidP="000821B1">
      <w:pPr>
        <w:tabs>
          <w:tab w:val="left" w:pos="360"/>
          <w:tab w:val="left" w:pos="720"/>
          <w:tab w:val="left" w:pos="1440"/>
          <w:tab w:val="left" w:pos="2160"/>
          <w:tab w:val="left" w:pos="2880"/>
          <w:tab w:val="left" w:pos="3600"/>
          <w:tab w:val="left" w:pos="4320"/>
          <w:tab w:val="left" w:pos="5040"/>
        </w:tabs>
      </w:pPr>
      <w:r>
        <w:tab/>
        <w:t>T</w:t>
      </w:r>
      <w:r w:rsidRPr="00D94420">
        <w:t xml:space="preserve">he bill also prescribes certain conditions for the establishment of the system, including, but not limited to, the requirement for: (a) a fixed odds wagering account holder to be at least 18 years of age, and physically present in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manner in which wagers may be placed, in person, by direct telephone call, or by communication through other electronic </w:t>
      </w:r>
      <w:r>
        <w:t>media.</w:t>
      </w:r>
    </w:p>
    <w:p w:rsidR="000821B1" w:rsidRDefault="000821B1" w:rsidP="000821B1">
      <w:pPr>
        <w:tabs>
          <w:tab w:val="left" w:pos="360"/>
          <w:tab w:val="left" w:pos="720"/>
          <w:tab w:val="left" w:pos="1440"/>
          <w:tab w:val="left" w:pos="2160"/>
          <w:tab w:val="left" w:pos="2880"/>
          <w:tab w:val="left" w:pos="3600"/>
          <w:tab w:val="left" w:pos="4320"/>
          <w:tab w:val="left" w:pos="5040"/>
        </w:tabs>
      </w:pPr>
      <w:r>
        <w:tab/>
      </w:r>
      <w:r w:rsidRPr="00D94420">
        <w:t>The bill further provides that the division would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w:t>
      </w:r>
      <w:r>
        <w:t>te the rules and regulations.</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pStyle w:val="SectionHeading"/>
        <w:tabs>
          <w:tab w:val="left" w:pos="360"/>
          <w:tab w:val="left" w:pos="720"/>
          <w:tab w:val="left" w:pos="1440"/>
          <w:tab w:val="left" w:pos="2160"/>
          <w:tab w:val="left" w:pos="2880"/>
          <w:tab w:val="left" w:pos="3600"/>
          <w:tab w:val="left" w:pos="4320"/>
          <w:tab w:val="left" w:pos="5040"/>
        </w:tabs>
      </w:pPr>
      <w:r>
        <w:t>FISCAL ANALYSIS</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pStyle w:val="InterSectionHeading"/>
        <w:tabs>
          <w:tab w:val="left" w:pos="720"/>
          <w:tab w:val="left" w:pos="1440"/>
          <w:tab w:val="left" w:pos="2160"/>
          <w:tab w:val="left" w:pos="2880"/>
          <w:tab w:val="left" w:pos="3600"/>
          <w:tab w:val="left" w:pos="4320"/>
          <w:tab w:val="left" w:pos="5040"/>
        </w:tabs>
      </w:pPr>
      <w:r>
        <w:t>EXECUTIVE BRANCH</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r>
        <w:tab/>
        <w:t>None received.</w:t>
      </w:r>
    </w:p>
    <w:p w:rsidR="00520AF7" w:rsidRDefault="00520AF7">
      <w:pPr>
        <w:spacing w:line="240" w:lineRule="auto"/>
        <w:jc w:val="left"/>
      </w:pPr>
      <w:r>
        <w:br w:type="page"/>
      </w:r>
    </w:p>
    <w:p w:rsidR="000821B1" w:rsidRDefault="000821B1" w:rsidP="000821B1">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r>
        <w:tab/>
      </w:r>
      <w:r>
        <w:rPr>
          <w:sz w:val="23"/>
          <w:szCs w:val="23"/>
        </w:rPr>
        <w:t>The OLS anticipates that the bill will increase annual State administrative expenditures by an indeterminate amount ascribable to the oversight and regulation of fixed odds wagering, including the licensing of operators and employees of fixed odds wagering systems. 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Depending on circumstances, the State share of dormant account and expired ticket distributions may be credited to the General Fund or the off-budget New Jersey Racing Industry Special Fund.</w:t>
      </w:r>
      <w:r>
        <w:t xml:space="preserve">  </w:t>
      </w:r>
      <w:r w:rsidRPr="00BC762C">
        <w:t>The New Jersey Sports and Exposition Authority will incur costs to develop and operate the fixed odds wagering system in accordance with the rules and regulations established by the division or to contract for those services as approved by the division and the Attorney General</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821B1" w:rsidTr="001E3EEC">
        <w:trPr>
          <w:trHeight w:val="403"/>
        </w:trPr>
        <w:tc>
          <w:tcPr>
            <w:tcW w:w="1260" w:type="dxa"/>
            <w:tcBorders>
              <w:top w:val="nil"/>
              <w:left w:val="nil"/>
              <w:bottom w:val="nil"/>
              <w:right w:val="nil"/>
            </w:tcBorders>
          </w:tcPr>
          <w:p w:rsidR="000821B1" w:rsidRDefault="000821B1" w:rsidP="001E3EEC">
            <w:pPr>
              <w:pStyle w:val="10pointItalics"/>
              <w:rPr>
                <w:sz w:val="24"/>
              </w:rPr>
            </w:pPr>
            <w:r>
              <w:t>Section:</w:t>
            </w:r>
          </w:p>
        </w:tc>
        <w:tc>
          <w:tcPr>
            <w:tcW w:w="8100" w:type="dxa"/>
            <w:tcBorders>
              <w:top w:val="nil"/>
              <w:left w:val="nil"/>
              <w:bottom w:val="nil"/>
              <w:right w:val="nil"/>
            </w:tcBorders>
          </w:tcPr>
          <w:p w:rsidR="000821B1" w:rsidRDefault="000821B1" w:rsidP="001E3EEC">
            <w:pPr>
              <w:pStyle w:val="10pointItalics"/>
              <w:rPr>
                <w:sz w:val="24"/>
              </w:rPr>
            </w:pPr>
            <w:bookmarkStart w:id="2" w:name="Section"/>
            <w:r>
              <w:t>State Government</w:t>
            </w:r>
            <w:bookmarkEnd w:id="2"/>
          </w:p>
        </w:tc>
      </w:tr>
      <w:tr w:rsidR="000821B1" w:rsidTr="001E3EEC">
        <w:trPr>
          <w:trHeight w:val="403"/>
        </w:trPr>
        <w:tc>
          <w:tcPr>
            <w:tcW w:w="1260" w:type="dxa"/>
            <w:tcBorders>
              <w:top w:val="nil"/>
              <w:left w:val="nil"/>
              <w:bottom w:val="nil"/>
              <w:right w:val="nil"/>
            </w:tcBorders>
          </w:tcPr>
          <w:p w:rsidR="000821B1" w:rsidRDefault="000821B1" w:rsidP="001E3EEC">
            <w:pPr>
              <w:pStyle w:val="10pointItalics"/>
              <w:rPr>
                <w:sz w:val="24"/>
              </w:rPr>
            </w:pPr>
            <w:r>
              <w:t>Analyst:</w:t>
            </w:r>
          </w:p>
        </w:tc>
        <w:tc>
          <w:tcPr>
            <w:tcW w:w="8100" w:type="dxa"/>
            <w:tcBorders>
              <w:top w:val="nil"/>
              <w:left w:val="nil"/>
              <w:bottom w:val="nil"/>
              <w:right w:val="nil"/>
            </w:tcBorders>
          </w:tcPr>
          <w:p w:rsidR="000821B1" w:rsidRDefault="000821B1" w:rsidP="001E3EEC">
            <w:pPr>
              <w:pStyle w:val="10pointItalics"/>
            </w:pPr>
            <w:bookmarkStart w:id="3" w:name="UserFullName"/>
            <w:bookmarkEnd w:id="3"/>
            <w:r>
              <w:t>Kimberly M. Clemmensen</w:t>
            </w:r>
          </w:p>
          <w:p w:rsidR="000821B1" w:rsidRDefault="000821B1" w:rsidP="001E3EEC">
            <w:pPr>
              <w:pStyle w:val="10pointItalics"/>
              <w:rPr>
                <w:sz w:val="24"/>
              </w:rPr>
            </w:pPr>
            <w:r>
              <w:t>Lead Fiscal Analyst</w:t>
            </w:r>
          </w:p>
        </w:tc>
      </w:tr>
      <w:tr w:rsidR="000821B1" w:rsidTr="001E3EEC">
        <w:trPr>
          <w:trHeight w:val="403"/>
        </w:trPr>
        <w:tc>
          <w:tcPr>
            <w:tcW w:w="1260" w:type="dxa"/>
            <w:tcBorders>
              <w:top w:val="nil"/>
              <w:left w:val="nil"/>
              <w:bottom w:val="nil"/>
              <w:right w:val="nil"/>
            </w:tcBorders>
            <w:tcMar>
              <w:top w:w="72" w:type="dxa"/>
            </w:tcMar>
          </w:tcPr>
          <w:p w:rsidR="000821B1" w:rsidRDefault="000821B1" w:rsidP="001E3EEC">
            <w:pPr>
              <w:pStyle w:val="10pointItalics"/>
              <w:rPr>
                <w:sz w:val="24"/>
              </w:rPr>
            </w:pPr>
            <w:r>
              <w:t>Approved:</w:t>
            </w:r>
          </w:p>
        </w:tc>
        <w:tc>
          <w:tcPr>
            <w:tcW w:w="8100" w:type="dxa"/>
            <w:tcBorders>
              <w:top w:val="nil"/>
              <w:left w:val="nil"/>
              <w:bottom w:val="nil"/>
              <w:right w:val="nil"/>
            </w:tcBorders>
            <w:tcMar>
              <w:top w:w="72" w:type="dxa"/>
            </w:tcMar>
          </w:tcPr>
          <w:p w:rsidR="000821B1" w:rsidRDefault="000821B1" w:rsidP="001E3EEC">
            <w:pPr>
              <w:pStyle w:val="10pointItalics"/>
            </w:pPr>
            <w:r>
              <w:t>Thomas Koenig</w:t>
            </w:r>
          </w:p>
          <w:p w:rsidR="000821B1" w:rsidRDefault="000821B1" w:rsidP="001E3EEC">
            <w:pPr>
              <w:pStyle w:val="10pointItalics"/>
              <w:rPr>
                <w:sz w:val="24"/>
              </w:rPr>
            </w:pPr>
            <w:r>
              <w:t>Legislative Budget and Finance Officer</w:t>
            </w:r>
          </w:p>
        </w:tc>
      </w:tr>
    </w:tbl>
    <w:p w:rsidR="000821B1" w:rsidRDefault="000821B1" w:rsidP="000821B1">
      <w:pPr>
        <w:spacing w:line="287" w:lineRule="atLeast"/>
      </w:pP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821B1" w:rsidRDefault="000821B1" w:rsidP="000821B1">
      <w:pPr>
        <w:tabs>
          <w:tab w:val="left" w:pos="360"/>
          <w:tab w:val="left" w:pos="720"/>
          <w:tab w:val="left" w:pos="1440"/>
          <w:tab w:val="left" w:pos="2160"/>
          <w:tab w:val="left" w:pos="2880"/>
          <w:tab w:val="left" w:pos="3600"/>
          <w:tab w:val="left" w:pos="4320"/>
          <w:tab w:val="left" w:pos="5040"/>
        </w:tabs>
      </w:pPr>
    </w:p>
    <w:p w:rsidR="000821B1" w:rsidRDefault="000821B1" w:rsidP="000821B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821B1" w:rsidSect="00520AF7">
      <w:headerReference w:type="default" r:id="rId7"/>
      <w:footerReference w:type="first" r:id="rId8"/>
      <w:pgSz w:w="12240" w:h="20160" w:code="5"/>
      <w:pgMar w:top="1440" w:right="1440" w:bottom="171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36" w:rsidRDefault="003F3F36">
      <w:r>
        <w:separator/>
      </w:r>
    </w:p>
  </w:endnote>
  <w:endnote w:type="continuationSeparator" w:id="0">
    <w:p w:rsidR="003F3F36" w:rsidRDefault="003F3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333B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0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36" w:rsidRDefault="003F3F36">
      <w:r>
        <w:separator/>
      </w:r>
    </w:p>
  </w:footnote>
  <w:footnote w:type="continuationSeparator" w:id="0">
    <w:p w:rsidR="003F3F36" w:rsidRDefault="003F3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76" w:rsidRDefault="00993B76" w:rsidP="00993B76">
    <w:pPr>
      <w:pStyle w:val="Header"/>
      <w:jc w:val="center"/>
    </w:pPr>
    <w:r>
      <w:t>F</w:t>
    </w:r>
    <w:r w:rsidR="00520AF7">
      <w:t>E to S</w:t>
    </w:r>
    <w:r>
      <w:t>3090 [1R]</w:t>
    </w:r>
  </w:p>
  <w:p w:rsidR="00993B76" w:rsidRDefault="00993B76" w:rsidP="00993B76">
    <w:pPr>
      <w:pStyle w:val="Header"/>
      <w:jc w:val="center"/>
    </w:pPr>
    <w:r>
      <w:fldChar w:fldCharType="begin"/>
    </w:r>
    <w:r>
      <w:instrText xml:space="preserve"> PAGE  \* MERGEFORMAT </w:instrText>
    </w:r>
    <w:r>
      <w:fldChar w:fldCharType="separate"/>
    </w:r>
    <w:r w:rsidR="00E333BD">
      <w:rPr>
        <w:noProof/>
      </w:rPr>
      <w:t>3</w:t>
    </w:r>
    <w:r>
      <w:fldChar w:fldCharType="end"/>
    </w:r>
  </w:p>
  <w:p w:rsidR="00993B76" w:rsidRDefault="00993B76" w:rsidP="00993B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B76"/>
    <w:rsid w:val="00011EDD"/>
    <w:rsid w:val="00013973"/>
    <w:rsid w:val="000177A2"/>
    <w:rsid w:val="000333DF"/>
    <w:rsid w:val="00036860"/>
    <w:rsid w:val="00042B0B"/>
    <w:rsid w:val="000629F9"/>
    <w:rsid w:val="000701B0"/>
    <w:rsid w:val="00070F62"/>
    <w:rsid w:val="000820F8"/>
    <w:rsid w:val="000821B1"/>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6D9"/>
    <w:rsid w:val="00193C26"/>
    <w:rsid w:val="00194789"/>
    <w:rsid w:val="00197240"/>
    <w:rsid w:val="001B1D4B"/>
    <w:rsid w:val="001B2BA9"/>
    <w:rsid w:val="001D0C90"/>
    <w:rsid w:val="001D23EB"/>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18D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1EF"/>
    <w:rsid w:val="003F3F36"/>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AF7"/>
    <w:rsid w:val="00520DC2"/>
    <w:rsid w:val="00536F40"/>
    <w:rsid w:val="00537577"/>
    <w:rsid w:val="005470F3"/>
    <w:rsid w:val="00570997"/>
    <w:rsid w:val="00577AA8"/>
    <w:rsid w:val="005850CE"/>
    <w:rsid w:val="005A6D23"/>
    <w:rsid w:val="005C1947"/>
    <w:rsid w:val="005C1E9D"/>
    <w:rsid w:val="005D662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2F44"/>
    <w:rsid w:val="00743F01"/>
    <w:rsid w:val="00744AE4"/>
    <w:rsid w:val="00763D60"/>
    <w:rsid w:val="007833B1"/>
    <w:rsid w:val="007920AC"/>
    <w:rsid w:val="007A0F7E"/>
    <w:rsid w:val="007A42C5"/>
    <w:rsid w:val="007A65A1"/>
    <w:rsid w:val="007B1FCF"/>
    <w:rsid w:val="007C4620"/>
    <w:rsid w:val="007E337B"/>
    <w:rsid w:val="007E5EB3"/>
    <w:rsid w:val="008048A6"/>
    <w:rsid w:val="00804E41"/>
    <w:rsid w:val="00811BC0"/>
    <w:rsid w:val="008225DE"/>
    <w:rsid w:val="008231E8"/>
    <w:rsid w:val="008266B7"/>
    <w:rsid w:val="00854B89"/>
    <w:rsid w:val="00855555"/>
    <w:rsid w:val="00881BED"/>
    <w:rsid w:val="00881EF3"/>
    <w:rsid w:val="00883E7C"/>
    <w:rsid w:val="00886261"/>
    <w:rsid w:val="00894971"/>
    <w:rsid w:val="008C0341"/>
    <w:rsid w:val="008D5731"/>
    <w:rsid w:val="008E1349"/>
    <w:rsid w:val="00915973"/>
    <w:rsid w:val="00937A78"/>
    <w:rsid w:val="00947B1E"/>
    <w:rsid w:val="00953C08"/>
    <w:rsid w:val="00961EEA"/>
    <w:rsid w:val="00973C29"/>
    <w:rsid w:val="00993B7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10B1"/>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33BD"/>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59B"/>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55974AD-E006-48A2-B207-9999DA82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E31EF"/>
    <w:pPr>
      <w:ind w:left="720"/>
      <w:contextualSpacing/>
    </w:pPr>
  </w:style>
  <w:style w:type="paragraph" w:styleId="BalloonText">
    <w:name w:val="Balloon Text"/>
    <w:basedOn w:val="Normal"/>
    <w:link w:val="BalloonTextChar"/>
    <w:semiHidden/>
    <w:unhideWhenUsed/>
    <w:rsid w:val="005D66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66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991</Words>
  <Characters>5339</Characters>
  <Application>Microsoft Office Word</Application>
  <DocSecurity>0</DocSecurity>
  <Lines>125</Lines>
  <Paragraphs>47</Paragraphs>
  <ScaleCrop>false</ScaleCrop>
  <HeadingPairs>
    <vt:vector size="2" baseType="variant">
      <vt:variant>
        <vt:lpstr>Title</vt:lpstr>
      </vt:variant>
      <vt:variant>
        <vt:i4>1</vt:i4>
      </vt:variant>
    </vt:vector>
  </HeadingPairs>
  <TitlesOfParts>
    <vt:vector size="1" baseType="lpstr">
      <vt:lpstr>S3090 1R  FISCAL ESTIMATE</vt:lpstr>
    </vt:vector>
  </TitlesOfParts>
  <Manager>Kimberly M. Clemmensen; R224</Manager>
  <Company>Office of Legislative Services</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S3090 1R  FISCAL ESTIMATE</dc:title>
  <dc:creator>Senator GOPAL, Senator SARLO </dc:creator>
  <cp:keywords>S3090|3|SG |240|76|76|!||</cp:keywords>
  <dc:description>Sponsor 6/21</dc:description>
  <cp:lastModifiedBy>Franks, Denise</cp:lastModifiedBy>
  <cp:revision>2</cp:revision>
  <cp:lastPrinted>2021-06-24T15:40:00Z</cp:lastPrinted>
  <dcterms:created xsi:type="dcterms:W3CDTF">2021-06-24T19:35:00Z</dcterms:created>
  <dcterms:modified xsi:type="dcterms:W3CDTF">2021-06-24T19:35:00Z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