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CF6" w:rsidRDefault="00774CF6" w:rsidP="00774CF6">
      <w:pPr>
        <w:pStyle w:val="bpuReprint"/>
      </w:pPr>
      <w:bookmarkStart w:id="0" w:name="bpuFrontPg"/>
      <w:bookmarkStart w:id="1" w:name="_GoBack"/>
      <w:bookmarkEnd w:id="0"/>
      <w:bookmarkEnd w:id="1"/>
      <w:r>
        <w:t>[First Reprint]</w:t>
      </w:r>
    </w:p>
    <w:p w:rsidR="00D21ECC" w:rsidRDefault="00D21ECC" w:rsidP="00D21ECC">
      <w:pPr>
        <w:pStyle w:val="bpuBill"/>
      </w:pPr>
      <w:r>
        <w:t xml:space="preserve">SENATE, No. 3105 </w:t>
      </w:r>
    </w:p>
    <w:p w:rsidR="00D21ECC" w:rsidRPr="009D38FF" w:rsidRDefault="00D21ECC" w:rsidP="00D21E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71520" r:id="rId7"/>
        </w:object>
      </w:r>
    </w:p>
    <w:p w:rsidR="00D21ECC" w:rsidRDefault="00D21ECC" w:rsidP="00D21ECC">
      <w:pPr>
        <w:pStyle w:val="bpuState"/>
      </w:pPr>
      <w:r>
        <w:t>STATE OF NEW JERSEY</w:t>
      </w:r>
    </w:p>
    <w:p w:rsidR="00D21ECC" w:rsidRDefault="00D21ECC" w:rsidP="00D21ECC">
      <w:pPr>
        <w:pStyle w:val="bpuLegislature"/>
      </w:pPr>
      <w:r>
        <w:t>219th LEGISLATURE</w:t>
      </w:r>
    </w:p>
    <w:p w:rsidR="00D21ECC" w:rsidRDefault="00D21ECC" w:rsidP="00D21ECC">
      <w:pPr>
        <w:pStyle w:val="bpuWpGraphic"/>
      </w:pPr>
      <w:r>
        <w:object w:dxaOrig="8985" w:dyaOrig="255">
          <v:shape id="_x0000_i1026" type="#_x0000_t75" style="width:6in;height:12pt" o:ole="">
            <v:imagedata r:id="rId6" o:title=""/>
          </v:shape>
          <o:OLEObject Type="Embed" ProgID="WPWin6.1" ShapeID="_x0000_i1026" DrawAspect="Content" ObjectID="_1701671521" r:id="rId8"/>
        </w:object>
      </w:r>
      <w:r>
        <w:t xml:space="preserve">  </w:t>
      </w:r>
    </w:p>
    <w:p w:rsidR="00D21ECC" w:rsidRDefault="00D21ECC" w:rsidP="00D21ECC">
      <w:pPr>
        <w:pStyle w:val="bpuIntro"/>
      </w:pPr>
      <w:r>
        <w:t>INTRODUCED NOVEMBER 5, 2020</w:t>
      </w:r>
    </w:p>
    <w:p w:rsidR="00D21ECC" w:rsidRDefault="00D21ECC" w:rsidP="00D21ECC">
      <w:pPr>
        <w:pStyle w:val="bpuIntro"/>
      </w:pPr>
    </w:p>
    <w:p w:rsidR="00D21ECC" w:rsidRDefault="00D21ECC" w:rsidP="00D21ECC">
      <w:pPr>
        <w:pStyle w:val="bpuIntro"/>
        <w:sectPr w:rsidR="00D21ECC" w:rsidSect="00D37D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1ECC" w:rsidRDefault="00D21ECC" w:rsidP="00D21ECC">
      <w:pPr>
        <w:pStyle w:val="bpuIntro"/>
      </w:pPr>
    </w:p>
    <w:p w:rsidR="00D21ECC" w:rsidRDefault="00D21ECC" w:rsidP="00D21ECC">
      <w:pPr>
        <w:pStyle w:val="bpuSponsor"/>
      </w:pPr>
      <w:r>
        <w:t>Sponsored by:</w:t>
      </w:r>
    </w:p>
    <w:p w:rsidR="00D21ECC" w:rsidRDefault="00D21ECC" w:rsidP="00D21ECC">
      <w:pPr>
        <w:pStyle w:val="bpuSponsor"/>
      </w:pPr>
      <w:r>
        <w:t>Senator  VIN GOPAL</w:t>
      </w:r>
    </w:p>
    <w:p w:rsidR="00D21ECC" w:rsidRDefault="00D21ECC" w:rsidP="00D21ECC">
      <w:pPr>
        <w:pStyle w:val="bpuSponsor"/>
      </w:pPr>
      <w:r>
        <w:t>District 11 (Monmouth)</w:t>
      </w:r>
    </w:p>
    <w:p w:rsidR="00D21ECC" w:rsidRDefault="008D421F" w:rsidP="008D421F">
      <w:pPr>
        <w:pStyle w:val="bpuSponsor"/>
      </w:pPr>
      <w:r>
        <w:t>Senator  NIA H. GILL</w:t>
      </w:r>
    </w:p>
    <w:p w:rsidR="008D421F" w:rsidRDefault="008D421F" w:rsidP="008D421F">
      <w:pPr>
        <w:pStyle w:val="bpuSponsor"/>
      </w:pPr>
      <w:r>
        <w:t>District 34 (Essex and Passaic)</w:t>
      </w:r>
    </w:p>
    <w:p w:rsidR="008D421F" w:rsidRPr="008D421F" w:rsidRDefault="008D421F" w:rsidP="008D421F">
      <w:pPr>
        <w:pStyle w:val="bpuSponsor"/>
      </w:pPr>
    </w:p>
    <w:p w:rsidR="00615B3B" w:rsidRDefault="00D37D89" w:rsidP="00D37D89">
      <w:pPr>
        <w:pStyle w:val="bpuSponsor"/>
      </w:pPr>
      <w:r>
        <w:t>Co-Sponsored by:</w:t>
      </w:r>
    </w:p>
    <w:p w:rsidR="00D37D89" w:rsidRDefault="00D37D89" w:rsidP="00D37D89">
      <w:pPr>
        <w:pStyle w:val="bpuSponsor"/>
      </w:pPr>
      <w:r w:rsidRPr="00D37D89">
        <w:t>Senators Diegnan and Ruiz</w:t>
      </w:r>
    </w:p>
    <w:p w:rsidR="00D37D89" w:rsidRPr="00D37D89" w:rsidRDefault="00D37D89" w:rsidP="00D37D89"/>
    <w:p w:rsidR="00615B3B" w:rsidRPr="00615B3B" w:rsidRDefault="00615B3B" w:rsidP="00615B3B"/>
    <w:p w:rsidR="00D21ECC" w:rsidRDefault="00D21ECC" w:rsidP="00D21ECC">
      <w:pPr>
        <w:pStyle w:val="bpuSponsor"/>
      </w:pPr>
    </w:p>
    <w:p w:rsidR="00D21ECC" w:rsidRDefault="00D21ECC" w:rsidP="00D21ECC">
      <w:pPr>
        <w:pStyle w:val="bpuSponsor"/>
      </w:pPr>
    </w:p>
    <w:p w:rsidR="00D21ECC" w:rsidRDefault="00D21ECC" w:rsidP="00D21ECC">
      <w:pPr>
        <w:pStyle w:val="bpuSponsor"/>
      </w:pPr>
      <w:r>
        <w:t>SYNOPSIS</w:t>
      </w:r>
    </w:p>
    <w:p w:rsidR="00D21ECC" w:rsidRDefault="00D21ECC" w:rsidP="00D21ECC">
      <w:pPr>
        <w:pStyle w:val="bpuNormText"/>
      </w:pPr>
      <w:r>
        <w:tab/>
        <w:t xml:space="preserve">Requires certain family or household members and victims be notified when firearms are returned to persons charged with domestic violence or subject to extreme risk protection order. </w:t>
      </w:r>
    </w:p>
    <w:p w:rsidR="00D21ECC" w:rsidRDefault="00D21ECC" w:rsidP="00D21ECC">
      <w:pPr>
        <w:pStyle w:val="bpuNormText"/>
      </w:pPr>
    </w:p>
    <w:p w:rsidR="00D21ECC" w:rsidRDefault="00D21ECC" w:rsidP="00D21ECC">
      <w:pPr>
        <w:pStyle w:val="bpuSponsor"/>
      </w:pPr>
      <w:r>
        <w:t xml:space="preserve">CURRENT VERSION OF TEXT </w:t>
      </w:r>
    </w:p>
    <w:p w:rsidR="00D21ECC" w:rsidRDefault="00774CF6" w:rsidP="00D21ECC">
      <w:pPr>
        <w:pStyle w:val="bpuNormText"/>
      </w:pPr>
      <w:r>
        <w:tab/>
        <w:t>As reported by the Senate Law and Public Safety Committee on November 15, 2021, with amendments.</w:t>
      </w:r>
    </w:p>
    <w:p w:rsidR="00D21ECC" w:rsidRDefault="00D21ECC" w:rsidP="00D21E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1ECC" w:rsidRDefault="00D21ECC" w:rsidP="008916EC">
      <w:pPr>
        <w:pStyle w:val="FronterPage"/>
        <w:tabs>
          <w:tab w:val="clear" w:pos="720"/>
          <w:tab w:val="clear" w:pos="1440"/>
          <w:tab w:val="clear" w:pos="2160"/>
          <w:tab w:val="clear" w:pos="2880"/>
          <w:tab w:val="clear" w:pos="3600"/>
          <w:tab w:val="clear" w:pos="4320"/>
          <w:tab w:val="clear" w:pos="5040"/>
        </w:tabs>
        <w:sectPr w:rsidR="00D21ECC" w:rsidSect="00D21ECC">
          <w:type w:val="continuous"/>
          <w:pgSz w:w="12240" w:h="20160" w:code="5"/>
          <w:pgMar w:top="1440" w:right="2275" w:bottom="1440" w:left="2275" w:header="72" w:footer="720" w:gutter="0"/>
          <w:pgNumType w:start="1"/>
          <w:cols w:space="720"/>
          <w:docGrid w:linePitch="360"/>
        </w:sectPr>
      </w:pPr>
    </w:p>
    <w:p w:rsidR="00C16754" w:rsidRPr="00677316" w:rsidRDefault="00C16754" w:rsidP="00C16754">
      <w:pPr>
        <w:pStyle w:val="HangingAnAct"/>
        <w:rPr>
          <w:rStyle w:val="HangingAnActChar"/>
        </w:rPr>
      </w:pPr>
      <w:r w:rsidRPr="00C16754">
        <w:rPr>
          <w:rStyle w:val="BillHead"/>
        </w:rPr>
        <w:lastRenderedPageBreak/>
        <w:t>An Act</w:t>
      </w:r>
      <w:r w:rsidRPr="006B7FA7">
        <w:rPr>
          <w:rStyle w:val="HangingAnActChar"/>
        </w:rPr>
        <w:t xml:space="preserve"> </w:t>
      </w:r>
      <w:r>
        <w:rPr>
          <w:rStyle w:val="HangingAnActChar"/>
        </w:rPr>
        <w:t xml:space="preserve">concerning certain returned and seized weapons and amending </w:t>
      </w:r>
      <w:r>
        <w:t xml:space="preserve">P.L.1991, c.261 and P.L.2018, c.35.  </w:t>
      </w:r>
    </w:p>
    <w:p w:rsidR="00C16754" w:rsidRPr="00D71D68" w:rsidRDefault="00C16754" w:rsidP="00C16754"/>
    <w:p w:rsidR="00C16754" w:rsidRDefault="00C16754" w:rsidP="00C16754">
      <w:pPr>
        <w:rPr>
          <w:rStyle w:val="BillLanguage"/>
          <w:i w:val="0"/>
        </w:rPr>
      </w:pPr>
      <w:r>
        <w:tab/>
      </w:r>
      <w:r>
        <w:rPr>
          <w:rStyle w:val="BillHeading2"/>
        </w:rPr>
        <w:t xml:space="preserve">Be It Enacted </w:t>
      </w:r>
      <w:r>
        <w:rPr>
          <w:rStyle w:val="BillLanguage"/>
        </w:rPr>
        <w:t>by the Senate and General Assembly of the State of New Jersey:</w:t>
      </w:r>
    </w:p>
    <w:p w:rsidR="00C16754" w:rsidRDefault="00C16754" w:rsidP="00C16754">
      <w:pPr>
        <w:rPr>
          <w:rStyle w:val="BillLanguage"/>
          <w:i w:val="0"/>
        </w:rPr>
      </w:pPr>
    </w:p>
    <w:p w:rsidR="00C16754" w:rsidRDefault="00C16754" w:rsidP="00C16754">
      <w:pPr>
        <w:rPr>
          <w:rStyle w:val="BillLanguage"/>
          <w:i w:val="0"/>
        </w:rPr>
      </w:pPr>
      <w:r>
        <w:rPr>
          <w:rStyle w:val="BillLanguage"/>
          <w:i w:val="0"/>
        </w:rPr>
        <w:tab/>
        <w:t>1.</w:t>
      </w:r>
      <w:r>
        <w:rPr>
          <w:rStyle w:val="BillLanguage"/>
          <w:i w:val="0"/>
        </w:rPr>
        <w:tab/>
      </w:r>
      <w:r>
        <w:t>Section 5 of P.L.1991, c.261 (C.</w:t>
      </w:r>
      <w:r w:rsidRPr="00817CE5">
        <w:t>2C:25-21</w:t>
      </w:r>
      <w:r>
        <w:t>) is amended to read as follows:</w:t>
      </w:r>
    </w:p>
    <w:p w:rsidR="00C16754" w:rsidRDefault="00C16754" w:rsidP="00C16754">
      <w:r>
        <w:tab/>
        <w:t>5.</w:t>
      </w:r>
      <w:r>
        <w:tab/>
        <w:t xml:space="preserve">a. </w:t>
      </w:r>
      <w:r w:rsidR="00514AFA">
        <w:t xml:space="preserve"> </w:t>
      </w:r>
      <w:r>
        <w:t>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C16754" w:rsidRDefault="00C16754" w:rsidP="00C16754">
      <w:r>
        <w:tab/>
        <w:t>(1)</w:t>
      </w:r>
      <w:r>
        <w:tab/>
        <w:t>The victim exhibits signs of injury caused by an act of domestic violence;</w:t>
      </w:r>
    </w:p>
    <w:p w:rsidR="00C16754" w:rsidRDefault="00C16754" w:rsidP="00C16754">
      <w:r>
        <w:tab/>
        <w:t>(2)</w:t>
      </w:r>
      <w:r>
        <w:tab/>
        <w:t>A warrant is in effect;</w:t>
      </w:r>
    </w:p>
    <w:p w:rsidR="00C16754" w:rsidRDefault="00C16754" w:rsidP="00C16754">
      <w:r>
        <w:tab/>
        <w:t>(3)</w:t>
      </w:r>
      <w:r>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C16754" w:rsidRDefault="00C16754" w:rsidP="00C16754">
      <w:r>
        <w:tab/>
        <w:t>(4)</w:t>
      </w:r>
      <w:r>
        <w:tab/>
        <w:t>There is probable cause to believe that a weapon as defined in N.J.S.2C:39-1 has been involved in the commission of an act of domestic violence.</w:t>
      </w:r>
    </w:p>
    <w:p w:rsidR="00C16754" w:rsidRDefault="00C16754" w:rsidP="00C16754">
      <w:r>
        <w:tab/>
        <w:t>b.</w:t>
      </w:r>
      <w:r>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C16754" w:rsidRDefault="00C16754" w:rsidP="00C16754">
      <w:r>
        <w:tab/>
        <w:t>c.</w:t>
      </w:r>
      <w:r>
        <w:tab/>
        <w:t xml:space="preserve">(1) </w:t>
      </w:r>
      <w:r w:rsidR="00514AFA">
        <w:t xml:space="preserve"> </w:t>
      </w:r>
      <w:r>
        <w:t>As used in this section, the word "exhibits" is to be liberally construed to mean any indication that a victim has suffered bodily injury, which shall include physical pain or any impairment of physical condition. Where the victim exhibits no visible sign of injury, but states that an injury has occurred, the officer should consider other relevant factors in determining whether there is probable cause to make an arrest.</w:t>
      </w:r>
    </w:p>
    <w:p w:rsidR="00C16754" w:rsidRDefault="00C16754" w:rsidP="00C16754">
      <w:r>
        <w:tab/>
        <w:t>(2)</w:t>
      </w:r>
      <w:r>
        <w:tab/>
        <w:t>In determining which party in a domestic violence incident is the victim where both parties exhibit signs of injury, the officer should consider the comparative extent of the injuries, the history of domestic violence between the parties, if any, and any other relevant factors.</w:t>
      </w:r>
    </w:p>
    <w:p w:rsidR="00C16754" w:rsidRDefault="00C16754" w:rsidP="00C16754">
      <w:r>
        <w:tab/>
        <w:t>(3)</w:t>
      </w:r>
      <w:r>
        <w:tab/>
        <w:t>No victim shall be denied relief or arrested or charged under this act with an offense because the victim used reasonable force in self defense against domestic violence by an attacker.</w:t>
      </w:r>
    </w:p>
    <w:p w:rsidR="00C16754" w:rsidRDefault="00C16754" w:rsidP="00C16754">
      <w:r>
        <w:lastRenderedPageBreak/>
        <w:tab/>
        <w:t>d.</w:t>
      </w:r>
      <w:r>
        <w:tab/>
        <w:t xml:space="preserve">(1) </w:t>
      </w:r>
      <w:r w:rsidR="00514AFA">
        <w:t xml:space="preserve"> </w:t>
      </w:r>
      <w:r>
        <w:t>In addition to a law enforcement officer's authority to seize any weapon that is contraband, evidence or an instrumentality of crime, a law enforcement officer who has probable cause to believe that an act of domestic violence has been committed shall:</w:t>
      </w:r>
    </w:p>
    <w:p w:rsidR="00C16754" w:rsidRDefault="00C16754" w:rsidP="00C16754">
      <w:r>
        <w:tab/>
        <w:t>(a)</w:t>
      </w:r>
      <w:r>
        <w:tab/>
        <w:t>question persons present to determine whether there are weapons on the premises; and</w:t>
      </w:r>
    </w:p>
    <w:p w:rsidR="00C16754" w:rsidRDefault="00C16754" w:rsidP="00C16754">
      <w:r>
        <w:tab/>
        <w:t>(b)</w:t>
      </w:r>
      <w:r>
        <w:tab/>
        <w:t>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firearm purchaser identification card or permit to purchase a handgun issued to the person accused of the act of domestic violence.</w:t>
      </w:r>
    </w:p>
    <w:p w:rsidR="00C16754" w:rsidRDefault="00C16754" w:rsidP="00C16754">
      <w:r>
        <w:tab/>
        <w:t>(2)</w:t>
      </w:r>
      <w:r>
        <w:tab/>
        <w:t>A law enforcement officer shall deliver all weapons, firearms purchaser identification cards and permits to purchase a handgun seized pursuant to this section to the county prosecutor and shall append an inventory of all seized items to the domestic violence report.</w:t>
      </w:r>
    </w:p>
    <w:p w:rsidR="00C16754" w:rsidRDefault="00C16754" w:rsidP="00C16754">
      <w:r>
        <w:tab/>
        <w:t>(3)</w:t>
      </w:r>
      <w:r>
        <w:tab/>
        <w:t>Weapons seized in accordance with the "Prevention of Domestic Violence Act of 1991", P.L.1991, c.261 (C.2C:25-17 et seq.) shall be returned to the owner except upon order of the Superior Court.  The prosecutor who has possession of the seized weapons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 on such grounds as are provided for the initial rejection or later revocation of the authorizations, or on the grounds that the owner is unfit or that the owner poses a threat to the public in general or a person or persons in particular.</w:t>
      </w:r>
    </w:p>
    <w:p w:rsidR="00C16754" w:rsidRDefault="00C16754" w:rsidP="00C16754">
      <w:r>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C16754" w:rsidRPr="00C9320E" w:rsidRDefault="00C16754" w:rsidP="00C16754">
      <w:r>
        <w:tab/>
        <w:t xml:space="preserve">If the prosecutor does not institute an action within 45 days of seizure, the seized weapons shall be returned to the owner.  </w:t>
      </w:r>
      <w:r>
        <w:tab/>
        <w:t xml:space="preserve">After the hearing the court shall order the return of the firearms, weapons and any authorization papers relating to the seized weapons to the owner if the court determines the owner is not subject to any of the disabilities set forth in </w:t>
      </w:r>
      <w:r w:rsidRPr="00C9320E">
        <w:rPr>
          <w:rFonts w:ascii="Albertus Extra Bold" w:hAnsi="Albertus Extra Bold"/>
          <w:b/>
        </w:rPr>
        <w:t>[</w:t>
      </w:r>
      <w:r>
        <w:t>N.J.S.2C:58-3c.</w:t>
      </w:r>
      <w:r w:rsidRPr="00C9320E">
        <w:rPr>
          <w:rFonts w:ascii="Albertus Extra Bold" w:hAnsi="Albertus Extra Bold"/>
          <w:b/>
        </w:rPr>
        <w:t>]</w:t>
      </w:r>
      <w:r>
        <w:t xml:space="preserve"> </w:t>
      </w:r>
      <w:r w:rsidRPr="00C9320E">
        <w:rPr>
          <w:u w:val="single"/>
        </w:rPr>
        <w:t>subsection c. of N.J.S.2C:58-3</w:t>
      </w:r>
      <w:r>
        <w:t xml:space="preserve"> and finds that the complaint has been dismissed at the request of the complainant and the prosecutor determines that there is insufficient probable cause to indict; or if the defendant is found not guilty of the charges; or if the court </w:t>
      </w:r>
      <w:r>
        <w:lastRenderedPageBreak/>
        <w:t>determines that the domestic violence situation no longer exists.</w:t>
      </w:r>
      <w:r>
        <w:tab/>
      </w:r>
      <w:r w:rsidRPr="00381605">
        <w:rPr>
          <w:u w:val="single"/>
        </w:rPr>
        <w:t xml:space="preserve">At least 10 days prior to returning the seized weapons, the prosecutor shall notify each claimant or victim that the weapons </w:t>
      </w:r>
      <w:r>
        <w:rPr>
          <w:u w:val="single"/>
        </w:rPr>
        <w:t xml:space="preserve">will </w:t>
      </w:r>
      <w:r w:rsidRPr="00381605">
        <w:rPr>
          <w:u w:val="single"/>
        </w:rPr>
        <w:t xml:space="preserve">be returned to the owner.  </w:t>
      </w:r>
    </w:p>
    <w:p w:rsidR="00C16754" w:rsidRPr="00381605" w:rsidRDefault="00C16754" w:rsidP="00C16754">
      <w:pPr>
        <w:rPr>
          <w:u w:val="single"/>
        </w:rPr>
      </w:pPr>
      <w:r>
        <w:tab/>
        <w:t>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w:t>
      </w:r>
    </w:p>
    <w:p w:rsidR="00C16754" w:rsidRDefault="00C16754" w:rsidP="00C16754">
      <w:r>
        <w:tab/>
        <w:t>If, after the hearing, the court determines that the weapons are not to be returned to the owner, the court may:</w:t>
      </w:r>
    </w:p>
    <w:p w:rsidR="00C16754" w:rsidRDefault="00C16754" w:rsidP="00C16754">
      <w:r>
        <w:tab/>
        <w:t>(a)</w:t>
      </w:r>
      <w:r>
        <w:tab/>
        <w:t>With respect to weapons other than firearms, order the prosecutor to dispose of the weapons if the owner does not arrange for the transfer or sale of the weapons to an appropriate person within 60 days; or</w:t>
      </w:r>
    </w:p>
    <w:p w:rsidR="00C16754" w:rsidRDefault="00C16754" w:rsidP="00C16754">
      <w:r>
        <w:tab/>
        <w:t>(b)</w:t>
      </w:r>
      <w:r>
        <w:tab/>
        <w:t>Order the revocation of the owner's firearms purchaser identification card or any permit, license or authorization, in which case the court shall order the owner to surrender any firearm seized and all other firearms possessed to the prosecutor and shall order the prosecutor to dispose of the firearms if the owner does not arrange for the sale of the firearms to a registered dealer of the firearms within 60 days; or</w:t>
      </w:r>
    </w:p>
    <w:p w:rsidR="00C16754" w:rsidRDefault="00C16754" w:rsidP="00C16754">
      <w:r>
        <w:tab/>
        <w:t>(c)</w:t>
      </w:r>
      <w:r>
        <w:tab/>
        <w:t>Order such other relief as it may deem appropriate.  When the court orders the weapons forfeited to the State or the prosecutor is required to dispose of the weapons, the prosecutor shall dispose of the property as provided in N.J.S.2C:64-6.</w:t>
      </w:r>
    </w:p>
    <w:p w:rsidR="00C16754" w:rsidRDefault="00C16754" w:rsidP="00C16754">
      <w:r>
        <w:tab/>
        <w:t>(4)</w:t>
      </w:r>
      <w:r>
        <w:tab/>
        <w:t>A civil suit may be brought to enjoin a wrongful failure to return a seized firearm where the prosecutor refuses to return the weapon after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w:t>
      </w:r>
    </w:p>
    <w:p w:rsidR="00C16754" w:rsidRDefault="00C16754" w:rsidP="00C16754">
      <w:r>
        <w:tab/>
        <w:t>(5)</w:t>
      </w:r>
      <w:r>
        <w:tab/>
        <w:t>No law enforcement officer or agency shall be held liable in any civil action brought by any person for failing to learn of, locate or seize a weapon pursuant to this act, or for returning a seized weapon to its owner.</w:t>
      </w:r>
    </w:p>
    <w:p w:rsidR="00C16754" w:rsidRDefault="00774CF6" w:rsidP="00C16754">
      <w:r>
        <w:t xml:space="preserve">(cf: </w:t>
      </w:r>
      <w:r w:rsidR="00C16754">
        <w:t xml:space="preserve">P.L.2003, c.277, s.1)  </w:t>
      </w:r>
    </w:p>
    <w:p w:rsidR="00C16754" w:rsidRDefault="00C16754" w:rsidP="00C16754"/>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2.</w:t>
      </w:r>
      <w:r w:rsidRPr="00774CF6">
        <w:rPr>
          <w:spacing w:val="0"/>
        </w:rPr>
        <w:tab/>
        <w:t>Section 7 of P.L.2018, c.35 (C.2C:58-26) is amended to read as follows:</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7.</w:t>
      </w:r>
      <w:r w:rsidRPr="00774CF6">
        <w:rPr>
          <w:spacing w:val="0"/>
        </w:rPr>
        <w:tab/>
        <w:t xml:space="preserve">a.  When a temporary or final extreme risk protective order is issued pursuant to section 4 or 5 of P.L.2018, c.35 (C.2C:58-23 or C.2C:58-24), the court shall order the respondent to surrender to the local law enforcement agency all firearms and ammunition in the respondent's custody or control, or which the respondent owns or possesses, and any firearms purchaser identification card, permit to </w:t>
      </w:r>
      <w:r w:rsidRPr="00774CF6">
        <w:rPr>
          <w:spacing w:val="0"/>
        </w:rPr>
        <w:lastRenderedPageBreak/>
        <w:t xml:space="preserve">purchase a handgun, or permit to carry a handgun held by the respondent.  The court also shall notify the respondent that the respondent is prohibited from purchasing firearms or ammunition or applying for a firearms purchaser identification card, permit to purchase a handgun, or permit to carry a handgun.  </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b.</w:t>
      </w:r>
      <w:r w:rsidRPr="00774CF6">
        <w:rPr>
          <w:spacing w:val="0"/>
        </w:rPr>
        <w:tab/>
        <w:t>If the petition for the temporary extreme risk protective order indicates that the respondent owns or possesses any firearms or ammunition, the court shall issue a search warrant with the temporary or final extreme risk protective order and the law enforcement officer who serves the order shall request that all firearms and ammunition immediately be surrendered.</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(1)</w:t>
      </w:r>
      <w:r w:rsidRPr="00774CF6">
        <w:rPr>
          <w:spacing w:val="0"/>
        </w:rPr>
        <w:tab/>
        <w:t xml:space="preserve">The respondent immediately shall surrender, in a safe manner, all firearms and ammunition in the respondent's custody or control, or which the respondent owns or possesses, and any firearms purchaser identification card, permit to purchase a handgun, or permit to carry a handgun held by the respondent to the control of the law enforcement officer.  </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(2)</w:t>
      </w:r>
      <w:r w:rsidRPr="00774CF6">
        <w:rPr>
          <w:spacing w:val="0"/>
        </w:rPr>
        <w:tab/>
        <w:t xml:space="preserve">The respondent may request that the law enforcement agency sell all firearms and ammunition in a safe manner to a federally licensed firearms dealer pursuant to section 8 of P.L.2018, c.35 (C.2C:58-27).  </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(3)</w:t>
      </w:r>
      <w:r w:rsidRPr="00774CF6">
        <w:rPr>
          <w:spacing w:val="0"/>
        </w:rPr>
        <w:tab/>
        <w:t xml:space="preserve">The law enforcement officer or licensed firearms dealer taking possession of any firearms or ammunition pursuant to this subsection shall issue a receipt identifying all firearms and ammunition that have been surrendered by the respondent.  The officer or dealer shall provide a copy of the receipt to the respondent at the time of surrender.  </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(4)</w:t>
      </w:r>
      <w:r w:rsidRPr="00774CF6">
        <w:rPr>
          <w:spacing w:val="0"/>
        </w:rPr>
        <w:tab/>
        <w:t>If the respondent surrenders firearms and ammunition to a law enforcement officer pursuant to paragraph (1) of this subsection or surrenders or sells firearms and ammunition to a licensed dealer pursuant to paragraph (2) of this subsection, the respondent shall, within 48 hours after being served with the order, file the receipt with the county prosecutor.  Failure to timely file the receipt or copy of the receipt shall constitute contempt of the order.</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c.</w:t>
      </w:r>
      <w:r w:rsidRPr="00774CF6">
        <w:rPr>
          <w:spacing w:val="0"/>
        </w:rPr>
        <w:tab/>
        <w:t xml:space="preserve">The court which issued the protective order may issue a search warrant for a firearm or ammunition that is in the custody or control of, owned, or possessed by a respondent who is subject to a temporary or final protective order issued pursuant to section 4 or 5 of P.L.2018, c.35 (C.2C:58-23 or C.2C:58-24) if the respondent has lawfully been served with that order and has failed to surrender the firearm or ammunition as required by this section. </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74CF6">
        <w:rPr>
          <w:spacing w:val="0"/>
        </w:rPr>
        <w:tab/>
        <w:t>d.</w:t>
      </w:r>
      <w:r w:rsidRPr="00774CF6">
        <w:rPr>
          <w:spacing w:val="0"/>
        </w:rPr>
        <w:tab/>
        <w:t>The respondent may petition the agency for the return of any surrendered firearms or ammunition upon termination of an order pursuant to section 6 of P.L.2018, c.35 (C.2C:58-25). Within 30 days of receiving a petition for the return of surrendered firearms or ammunition and after the termination of the order, the agency shall return the firearm or ammunition unless:</w:t>
      </w:r>
      <w:r>
        <w:t xml:space="preserve"> </w:t>
      </w:r>
      <w:r>
        <w:br w:type="page"/>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lastRenderedPageBreak/>
        <w:tab/>
        <w:t>(1)</w:t>
      </w:r>
      <w:r w:rsidRPr="00774CF6">
        <w:rPr>
          <w:spacing w:val="0"/>
        </w:rPr>
        <w:tab/>
        <w:t>the firearm has been reported as stolen; or</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(2)</w:t>
      </w:r>
      <w:r w:rsidRPr="00774CF6">
        <w:rPr>
          <w:spacing w:val="0"/>
        </w:rPr>
        <w:tab/>
        <w:t>the respondent is prohibited from possessing a firearm under State or federal law.</w:t>
      </w:r>
      <w:r w:rsidRPr="00774CF6">
        <w:rPr>
          <w:spacing w:val="0"/>
          <w:u w:val="single"/>
        </w:rPr>
        <w:t xml:space="preserve"> </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r>
      <w:r w:rsidRPr="00774CF6">
        <w:rPr>
          <w:spacing w:val="0"/>
          <w:u w:val="single"/>
        </w:rPr>
        <w:t>At least 10 days prior to returning the firearms or ammunition, the local law enforcement agency shall notify the family or household member that the firearms or ammunition will be returned to the owner.</w:t>
      </w:r>
      <w:r w:rsidRPr="00774CF6">
        <w:rPr>
          <w:spacing w:val="0"/>
        </w:rPr>
        <w:t xml:space="preserve">  </w:t>
      </w:r>
      <w:r w:rsidRPr="00774CF6">
        <w:rPr>
          <w:rFonts w:ascii="Albertus Extra Bold" w:hAnsi="Albertus Extra Bold"/>
          <w:b/>
          <w:spacing w:val="0"/>
          <w:vertAlign w:val="superscript"/>
        </w:rPr>
        <w:t>1</w:t>
      </w:r>
      <w:r w:rsidRPr="00774CF6">
        <w:rPr>
          <w:spacing w:val="0"/>
          <w:u w:val="single"/>
        </w:rPr>
        <w:t>If the firearms or ammunition were seized by the State Police, the county prosecutor’s office where the protective order is venued shall notify the family or household member that the firearms or ammunition will be returned to the owner.</w:t>
      </w:r>
      <w:r w:rsidRPr="00774CF6">
        <w:rPr>
          <w:rFonts w:ascii="Albertus Extra Bold" w:hAnsi="Albertus Extra Bold"/>
          <w:b/>
          <w:spacing w:val="0"/>
          <w:vertAlign w:val="superscript"/>
        </w:rPr>
        <w:t>1</w:t>
      </w:r>
      <w:r w:rsidRPr="00774CF6">
        <w:rPr>
          <w:spacing w:val="0"/>
        </w:rPr>
        <w:t xml:space="preserve">  Nothing in this act shall prohibit revocation and seizure of a person's firearms purchaser identification card, permit to purchase a handgun, permit to carry a handgun, and weapons as authorized pursuant to applicable law.  </w:t>
      </w:r>
      <w:r w:rsidRPr="00774CF6">
        <w:rPr>
          <w:spacing w:val="0"/>
        </w:rPr>
        <w:tab/>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e.</w:t>
      </w:r>
      <w:r w:rsidRPr="00774CF6">
        <w:rPr>
          <w:spacing w:val="0"/>
        </w:rPr>
        <w:tab/>
        <w:t xml:space="preserve">If a person other than the respondent claims title to any firearm or ammunition surrendered pursuant to this section, and the law enforcement agency determines that the person is the lawful owner of the firearm or ammunition, the firearm or ammunition shall be returned to that person. </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4CF6">
        <w:rPr>
          <w:spacing w:val="0"/>
        </w:rPr>
        <w:tab/>
        <w:t>f.</w:t>
      </w:r>
      <w:r w:rsidRPr="00774CF6">
        <w:rPr>
          <w:spacing w:val="0"/>
        </w:rPr>
        <w:tab/>
        <w:t xml:space="preserve">If the respondent has surrendered a firearm or ammunition to a federally licensed firearms dealer, after termination of the order, the respondent may request the law enforcement agency, in writing, to authorize the return of the firearm or ammunition from the dealer.  The dealer shall transfer the firearm or ammunition to the respondent in accordance with procedures required when a firearm or ammunition is being sold from the dealer's inventory in accordance with N.J.S.2C:58-2.  </w:t>
      </w:r>
    </w:p>
    <w:p w:rsidR="00774CF6" w:rsidRPr="00774CF6" w:rsidRDefault="00774CF6" w:rsidP="00774C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(cf:</w:t>
      </w:r>
      <w:r w:rsidRPr="00774CF6">
        <w:rPr>
          <w:spacing w:val="0"/>
        </w:rPr>
        <w:t xml:space="preserve"> P.L.2018, c.35, s.7)</w:t>
      </w:r>
    </w:p>
    <w:p w:rsidR="00C16754" w:rsidRPr="00D71D68" w:rsidRDefault="00C16754" w:rsidP="00C16754"/>
    <w:p w:rsidR="00C16754" w:rsidRPr="00AA7880" w:rsidRDefault="00C16754" w:rsidP="00C16754">
      <w:r>
        <w:tab/>
        <w:t>3.</w:t>
      </w:r>
      <w:r>
        <w:tab/>
        <w:t xml:space="preserve">This act shall take effect on the first day of the seventh month following the date of enactment.  </w:t>
      </w:r>
    </w:p>
    <w:sectPr w:rsidR="00C16754" w:rsidRPr="00AA7880" w:rsidSect="00774CF6">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547" w:rsidRDefault="00635547">
      <w:r>
        <w:separator/>
      </w:r>
    </w:p>
  </w:endnote>
  <w:endnote w:type="continuationSeparator" w:id="0">
    <w:p w:rsidR="00635547" w:rsidRDefault="0063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B3B" w:rsidRDefault="00D37D89" w:rsidP="00D37D89">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D07" w:rsidRPr="00921C91" w:rsidRDefault="00502D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2D07" w:rsidRPr="00921C91" w:rsidRDefault="00502D07">
    <w:pPr>
      <w:pStyle w:val="Footer"/>
      <w:rPr>
        <w:szCs w:val="18"/>
      </w:rPr>
    </w:pPr>
  </w:p>
  <w:p w:rsidR="00502D07" w:rsidRPr="00921C91" w:rsidRDefault="00502D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4CF6" w:rsidRDefault="00774CF6" w:rsidP="00686AEB">
    <w:pPr>
      <w:pStyle w:val="Footer"/>
    </w:pPr>
    <w:r>
      <w:tab/>
      <w:t>Matter enclosed in superscript numerals has been adopted as follows:</w:t>
    </w:r>
  </w:p>
  <w:p w:rsidR="00774CF6" w:rsidRDefault="00774C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November 15, 2021.</w:t>
    </w:r>
  </w:p>
  <w:p w:rsidR="00774CF6" w:rsidRPr="00774CF6" w:rsidRDefault="00774CF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547" w:rsidRDefault="00635547">
      <w:r>
        <w:separator/>
      </w:r>
    </w:p>
  </w:footnote>
  <w:footnote w:type="continuationSeparator" w:id="0">
    <w:p w:rsidR="00635547" w:rsidRDefault="00635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39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1ECC" w:rsidRDefault="00D21ECC" w:rsidP="00D21ECC">
    <w:pPr>
      <w:pStyle w:val="bpuHeadSpon"/>
    </w:pPr>
    <w:r w:rsidRPr="00D21ECC">
      <w:rPr>
        <w:rStyle w:val="bpuHeadSponChar"/>
      </w:rPr>
      <w:t>S3105</w:t>
    </w:r>
    <w:r>
      <w:t xml:space="preserve"> </w:t>
    </w:r>
    <w:r w:rsidR="00774CF6">
      <w:t xml:space="preserve">[1R] </w:t>
    </w:r>
    <w:r>
      <w:t>GOPAL</w:t>
    </w:r>
    <w:r w:rsidR="008D421F">
      <w:t>, GILL</w:t>
    </w:r>
  </w:p>
  <w:p w:rsidR="00D21ECC" w:rsidRDefault="00D21ECC" w:rsidP="00D21ECC">
    <w:pPr>
      <w:pStyle w:val="bpuHeadSpon"/>
    </w:pPr>
    <w:r>
      <w:fldChar w:fldCharType="begin"/>
    </w:r>
    <w:r>
      <w:instrText xml:space="preserve"> PAGE  \* MERGEFORMAT </w:instrText>
    </w:r>
    <w:r>
      <w:fldChar w:fldCharType="separate"/>
    </w:r>
    <w:r w:rsidR="00EC6683">
      <w:rPr>
        <w:noProof/>
      </w:rPr>
      <w:t>6</w:t>
    </w:r>
    <w:r>
      <w:fldChar w:fldCharType="end"/>
    </w:r>
  </w:p>
  <w:p w:rsidR="00D21ECC" w:rsidRDefault="00D21ECC" w:rsidP="00D21E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1ECC" w:rsidRDefault="00D21ECC" w:rsidP="00D21ECC">
    <w:pPr>
      <w:pStyle w:val="bpuHeadSpon"/>
    </w:pPr>
    <w:r w:rsidRPr="00D21ECC">
      <w:rPr>
        <w:rStyle w:val="bpuHeadSponChar"/>
      </w:rPr>
      <w:t>S3105</w:t>
    </w:r>
    <w:r>
      <w:t xml:space="preserve"> </w:t>
    </w:r>
    <w:r w:rsidR="00774CF6">
      <w:t xml:space="preserve">[1R] </w:t>
    </w:r>
    <w:r>
      <w:t>GOPAL</w:t>
    </w:r>
    <w:r w:rsidR="008D421F">
      <w:t>, GILL</w:t>
    </w:r>
  </w:p>
  <w:p w:rsidR="00D21ECC" w:rsidRDefault="00D21ECC" w:rsidP="00D21ECC">
    <w:pPr>
      <w:pStyle w:val="bpuHeadSpon"/>
    </w:pPr>
    <w:r>
      <w:fldChar w:fldCharType="begin"/>
    </w:r>
    <w:r>
      <w:instrText xml:space="preserve"> PAGE  \* MERGEFORMAT </w:instrText>
    </w:r>
    <w:r>
      <w:fldChar w:fldCharType="separate"/>
    </w:r>
    <w:r w:rsidR="00EC6683">
      <w:rPr>
        <w:noProof/>
      </w:rPr>
      <w:t>2</w:t>
    </w:r>
    <w:r>
      <w:fldChar w:fldCharType="end"/>
    </w:r>
  </w:p>
  <w:p w:rsidR="00D21ECC" w:rsidRDefault="00D21ECC" w:rsidP="00D21E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47"/>
    <w:rsid w:val="000051BD"/>
    <w:rsid w:val="000160A5"/>
    <w:rsid w:val="0002335B"/>
    <w:rsid w:val="00030593"/>
    <w:rsid w:val="0003549A"/>
    <w:rsid w:val="000367AE"/>
    <w:rsid w:val="00043B22"/>
    <w:rsid w:val="00054975"/>
    <w:rsid w:val="00057D20"/>
    <w:rsid w:val="0006197C"/>
    <w:rsid w:val="0006281F"/>
    <w:rsid w:val="0008141C"/>
    <w:rsid w:val="00094A55"/>
    <w:rsid w:val="00095C7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DFD"/>
    <w:rsid w:val="001F14C7"/>
    <w:rsid w:val="001F7405"/>
    <w:rsid w:val="00205533"/>
    <w:rsid w:val="00211BE0"/>
    <w:rsid w:val="00212B8D"/>
    <w:rsid w:val="00222983"/>
    <w:rsid w:val="002370D0"/>
    <w:rsid w:val="00255958"/>
    <w:rsid w:val="00257FA2"/>
    <w:rsid w:val="0026574A"/>
    <w:rsid w:val="002660BB"/>
    <w:rsid w:val="00266A3B"/>
    <w:rsid w:val="00266B6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02A"/>
    <w:rsid w:val="00431F1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491"/>
    <w:rsid w:val="004F21BD"/>
    <w:rsid w:val="004F4F1D"/>
    <w:rsid w:val="004F74DD"/>
    <w:rsid w:val="00501317"/>
    <w:rsid w:val="00502D07"/>
    <w:rsid w:val="0050495C"/>
    <w:rsid w:val="00505DC9"/>
    <w:rsid w:val="00506E1E"/>
    <w:rsid w:val="00513C81"/>
    <w:rsid w:val="00514AF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5CB"/>
    <w:rsid w:val="005E017C"/>
    <w:rsid w:val="005E50C6"/>
    <w:rsid w:val="005F2A97"/>
    <w:rsid w:val="005F399B"/>
    <w:rsid w:val="006019F8"/>
    <w:rsid w:val="00605B20"/>
    <w:rsid w:val="0061156F"/>
    <w:rsid w:val="00613FF5"/>
    <w:rsid w:val="006155A8"/>
    <w:rsid w:val="00615B3B"/>
    <w:rsid w:val="00621B94"/>
    <w:rsid w:val="00626239"/>
    <w:rsid w:val="00635316"/>
    <w:rsid w:val="00635449"/>
    <w:rsid w:val="00635547"/>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816"/>
    <w:rsid w:val="006F180D"/>
    <w:rsid w:val="006F4334"/>
    <w:rsid w:val="006F47AF"/>
    <w:rsid w:val="006F6B8A"/>
    <w:rsid w:val="00707CD3"/>
    <w:rsid w:val="00716BB9"/>
    <w:rsid w:val="007256D1"/>
    <w:rsid w:val="007279FD"/>
    <w:rsid w:val="007502CB"/>
    <w:rsid w:val="00752D79"/>
    <w:rsid w:val="00752E20"/>
    <w:rsid w:val="00756EDE"/>
    <w:rsid w:val="00774CF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10B"/>
    <w:rsid w:val="007F485D"/>
    <w:rsid w:val="007F6050"/>
    <w:rsid w:val="00813627"/>
    <w:rsid w:val="0081703F"/>
    <w:rsid w:val="00832816"/>
    <w:rsid w:val="00837109"/>
    <w:rsid w:val="008374AE"/>
    <w:rsid w:val="00840365"/>
    <w:rsid w:val="008406A3"/>
    <w:rsid w:val="00841D2C"/>
    <w:rsid w:val="00845F3C"/>
    <w:rsid w:val="008461B8"/>
    <w:rsid w:val="008462F1"/>
    <w:rsid w:val="00847EF1"/>
    <w:rsid w:val="008538FA"/>
    <w:rsid w:val="008573B0"/>
    <w:rsid w:val="00866563"/>
    <w:rsid w:val="00867AC2"/>
    <w:rsid w:val="0087056E"/>
    <w:rsid w:val="00873CD8"/>
    <w:rsid w:val="00875402"/>
    <w:rsid w:val="00884D51"/>
    <w:rsid w:val="008916EC"/>
    <w:rsid w:val="00891E4F"/>
    <w:rsid w:val="008A31C5"/>
    <w:rsid w:val="008A4F9A"/>
    <w:rsid w:val="008B2850"/>
    <w:rsid w:val="008C79B3"/>
    <w:rsid w:val="008D421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2BD"/>
    <w:rsid w:val="00A017C0"/>
    <w:rsid w:val="00A11228"/>
    <w:rsid w:val="00A222C2"/>
    <w:rsid w:val="00A305D6"/>
    <w:rsid w:val="00A342C4"/>
    <w:rsid w:val="00A34C2C"/>
    <w:rsid w:val="00A50F6B"/>
    <w:rsid w:val="00A52237"/>
    <w:rsid w:val="00A5380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56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9C"/>
    <w:rsid w:val="00BF2C67"/>
    <w:rsid w:val="00BF7BA4"/>
    <w:rsid w:val="00C04F4D"/>
    <w:rsid w:val="00C12E48"/>
    <w:rsid w:val="00C13D14"/>
    <w:rsid w:val="00C15F53"/>
    <w:rsid w:val="00C16754"/>
    <w:rsid w:val="00C23F09"/>
    <w:rsid w:val="00C25356"/>
    <w:rsid w:val="00C328D0"/>
    <w:rsid w:val="00C46BC1"/>
    <w:rsid w:val="00C5235F"/>
    <w:rsid w:val="00C54CE2"/>
    <w:rsid w:val="00C6609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ECC"/>
    <w:rsid w:val="00D268AC"/>
    <w:rsid w:val="00D27FF3"/>
    <w:rsid w:val="00D343D0"/>
    <w:rsid w:val="00D3664D"/>
    <w:rsid w:val="00D37D8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281"/>
    <w:rsid w:val="00E93836"/>
    <w:rsid w:val="00EA7C16"/>
    <w:rsid w:val="00EC5281"/>
    <w:rsid w:val="00EC6683"/>
    <w:rsid w:val="00EC791D"/>
    <w:rsid w:val="00EC7CA6"/>
    <w:rsid w:val="00ED3C5D"/>
    <w:rsid w:val="00ED4553"/>
    <w:rsid w:val="00F00D08"/>
    <w:rsid w:val="00F15583"/>
    <w:rsid w:val="00F200EE"/>
    <w:rsid w:val="00F22481"/>
    <w:rsid w:val="00F2542E"/>
    <w:rsid w:val="00F27278"/>
    <w:rsid w:val="00F308E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171898"/>
  <w15:docId w15:val="{E4D23492-D3A8-495A-AFE9-894C2FFE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0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593"/>
    <w:rPr>
      <w:rFonts w:ascii="Segoe UI" w:hAnsi="Segoe UI" w:cs="Segoe UI"/>
      <w:spacing w:val="4"/>
      <w:sz w:val="18"/>
      <w:szCs w:val="18"/>
    </w:rPr>
  </w:style>
  <w:style w:type="character" w:styleId="LineNumber">
    <w:name w:val="line number"/>
    <w:basedOn w:val="DefaultParagraphFont"/>
    <w:semiHidden/>
    <w:unhideWhenUsed/>
    <w:rsid w:val="00D21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2215</Words>
  <Characters>11086</Characters>
  <Application>Microsoft Office Word</Application>
  <DocSecurity>0</DocSecurity>
  <Lines>250</Lines>
  <Paragraphs>59</Paragraphs>
  <ScaleCrop>false</ScaleCrop>
  <HeadingPairs>
    <vt:vector size="2" baseType="variant">
      <vt:variant>
        <vt:lpstr>Title</vt:lpstr>
      </vt:variant>
      <vt:variant>
        <vt:i4>1</vt:i4>
      </vt:variant>
    </vt:vector>
  </HeadingPairs>
  <TitlesOfParts>
    <vt:vector size="1" baseType="lpstr">
      <vt:lpstr>S3105 1R</vt:lpstr>
    </vt:vector>
  </TitlesOfParts>
  <Manager>R230</Manager>
  <Company>NJ Office of Legislative Services</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S3105 1R</dc:title>
  <dc:subject/>
  <dc:creator>Senator  GOPAL</dc:creator>
  <cp:keywords>S3105|6|LP |160|92|234|!|0|</cp:keywords>
  <dc:description>INTRODUCED NOVEMBER 5, 2020_x000d_
AMENDED NOVEMBER 15, 2021</dc:description>
  <cp:lastModifiedBy>Siracusa, Nicole</cp:lastModifiedBy>
  <cp:revision>2</cp:revision>
  <cp:lastPrinted>2021-12-22T14:44:00Z</cp:lastPrinted>
  <dcterms:created xsi:type="dcterms:W3CDTF">2021-12-22T14:44:00Z</dcterms:created>
  <dcterms:modified xsi:type="dcterms:W3CDTF">2021-12-22T14:44:00Z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